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227330</wp:posOffset>
            </wp:positionV>
            <wp:extent cx="3891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259080</wp:posOffset>
            </wp:positionV>
            <wp:extent cx="3891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244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Commission File Number: 001-39340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242570</wp:posOffset>
            </wp:positionV>
            <wp:extent cx="389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AGORA, INC.</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2804 Mission College Blvd,</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Santa Clara, California 95054,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107950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3460" w:right="1819" w:hanging="456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1547495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6"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7046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13"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21"/>
          <w:szCs w:val="21"/>
          <w:u w:val="single" w:color="auto"/>
          <w:color w:val="0000FF"/>
        </w:rPr>
        <w:t>Press Release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Jingbo Wang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Jingbo Wang</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Agora, Inc. Reports First Quarter 2026 Financial Results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SANTA CLARA, Calif., May 26, 2026 (GLOBE NEWSWIRE) -- Agora, Inc. (NASDAQ: API) (the “Company”), a pioneer and leader in conversational AI and real-time engagement technology, today announced its unaudited financial results for the first quarter ended March 31, 2026.</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 are pleased to report another quarter of accelerating growth and our sixth consecutive quarter of GAAP profitability,” said Tony Zhao, Founder, Chairman, and CEO of Agora, Inc. “During the quarter, we enhanced our conversational AI portfolio with the launch of Agent Studio, a no-code platform that enables customers to rapidly build, deploy, and scale voice AI agents, alongside purpose-built agent templates for customer service and outbound marketing. We are seeing robust customer adoption and sustained growth in platform usage. As the market shifts from pilot programs to full-scale production, our decade-long investment in real-time engagement infrastructure positions us as a trusted provider of reliable, high-performance solutions. We remain committed to enabling our customers to deploy conversational AI at scale with ease and confidence.”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First Quarter 2026 Highlights</w:t>
      </w:r>
    </w:p>
    <w:p>
      <w:pPr>
        <w:spacing w:after="0" w:line="21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Total revenues </w:t>
      </w:r>
      <w:r>
        <w:rPr>
          <w:rFonts w:ascii="Arial" w:cs="Arial" w:eastAsia="Arial" w:hAnsi="Arial"/>
          <w:sz w:val="19"/>
          <w:szCs w:val="19"/>
          <w:color w:val="auto"/>
        </w:rPr>
        <w:t>for the quarter were $37.7 million, an increase of 13.5% from $33.3 million in the first quarter of 2025.</w:t>
      </w:r>
    </w:p>
    <w:p>
      <w:pPr>
        <w:spacing w:after="0" w:line="28"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Active Customers </w:t>
      </w:r>
      <w:r>
        <w:rPr>
          <w:rFonts w:ascii="Arial" w:cs="Arial" w:eastAsia="Arial" w:hAnsi="Arial"/>
          <w:sz w:val="19"/>
          <w:szCs w:val="19"/>
          <w:color w:val="auto"/>
        </w:rPr>
        <w:t>as of March 31, 2026 were 3,946, an increase of 3.8% from 3,800 as of March 31, 2025.</w:t>
      </w:r>
    </w:p>
    <w:p>
      <w:pPr>
        <w:spacing w:after="0" w:line="10"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Dollar-Based Net Retention Rate </w:t>
      </w:r>
      <w:r>
        <w:rPr>
          <w:rFonts w:ascii="Arial" w:cs="Arial" w:eastAsia="Arial" w:hAnsi="Arial"/>
          <w:sz w:val="19"/>
          <w:szCs w:val="19"/>
          <w:color w:val="auto"/>
        </w:rPr>
        <w:t>for the quarter was 99%, compared to 95% in the first quarter of 2025.</w:t>
      </w:r>
    </w:p>
    <w:p>
      <w:pPr>
        <w:spacing w:after="0" w:line="10"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Net income </w:t>
      </w:r>
      <w:r>
        <w:rPr>
          <w:rFonts w:ascii="Arial" w:cs="Arial" w:eastAsia="Arial" w:hAnsi="Arial"/>
          <w:sz w:val="19"/>
          <w:szCs w:val="19"/>
          <w:color w:val="auto"/>
        </w:rPr>
        <w:t>for the quarter was $1.1 million, compared to $0.4 million in the first quarter of 2025.</w:t>
      </w:r>
    </w:p>
    <w:p>
      <w:pPr>
        <w:spacing w:after="0" w:line="10" w:lineRule="exact"/>
        <w:rPr>
          <w:rFonts w:ascii="Times New Roman" w:cs="Times New Roman" w:eastAsia="Times New Roman" w:hAnsi="Times New Roman"/>
          <w:sz w:val="19"/>
          <w:szCs w:val="19"/>
          <w:color w:val="auto"/>
        </w:rPr>
      </w:pPr>
    </w:p>
    <w:p>
      <w:pPr>
        <w:ind w:left="760" w:right="20" w:hanging="378"/>
        <w:spacing w:after="0" w:line="236" w:lineRule="auto"/>
        <w:tabs>
          <w:tab w:leader="none" w:pos="76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Total cash, cash equivalents, bank deposits and financial products issued by banks </w:t>
      </w:r>
      <w:r>
        <w:rPr>
          <w:rFonts w:ascii="Arial" w:cs="Arial" w:eastAsia="Arial" w:hAnsi="Arial"/>
          <w:sz w:val="19"/>
          <w:szCs w:val="19"/>
          <w:color w:val="auto"/>
        </w:rPr>
        <w:t>as of March 31, 2026 was $366.1</w:t>
      </w:r>
      <w:r>
        <w:rPr>
          <w:rFonts w:ascii="Arial" w:cs="Arial" w:eastAsia="Arial" w:hAnsi="Arial"/>
          <w:sz w:val="19"/>
          <w:szCs w:val="19"/>
          <w:b w:val="1"/>
          <w:bCs w:val="1"/>
          <w:color w:val="auto"/>
        </w:rPr>
        <w:t xml:space="preserve"> </w:t>
      </w:r>
      <w:r>
        <w:rPr>
          <w:rFonts w:ascii="Arial" w:cs="Arial" w:eastAsia="Arial" w:hAnsi="Arial"/>
          <w:sz w:val="19"/>
          <w:szCs w:val="19"/>
          <w:color w:val="auto"/>
        </w:rPr>
        <w:t>million.</w:t>
      </w:r>
    </w:p>
    <w:p>
      <w:pPr>
        <w:spacing w:after="0" w:line="1" w:lineRule="exact"/>
        <w:rPr>
          <w:rFonts w:ascii="Times New Roman" w:cs="Times New Roman" w:eastAsia="Times New Roman" w:hAnsi="Times New Roman"/>
          <w:sz w:val="19"/>
          <w:szCs w:val="19"/>
          <w:color w:val="auto"/>
        </w:rPr>
      </w:pPr>
    </w:p>
    <w:p>
      <w:pPr>
        <w:ind w:left="760" w:right="20" w:hanging="378"/>
        <w:spacing w:after="0" w:line="250" w:lineRule="auto"/>
        <w:tabs>
          <w:tab w:leader="none" w:pos="76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Net cash provided by operating activities </w:t>
      </w:r>
      <w:r>
        <w:rPr>
          <w:rFonts w:ascii="Arial" w:cs="Arial" w:eastAsia="Arial" w:hAnsi="Arial"/>
          <w:sz w:val="19"/>
          <w:szCs w:val="19"/>
          <w:color w:val="auto"/>
        </w:rPr>
        <w:t>for the quarter was $5.7 million (including interest received of $4.6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$17.6 million in the first quarter of 2025 (including interest received of $17.8 million).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First Quarter 2026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Revenues</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Total revenues were $37.7 million in the first quarter of 2026, an increase of 13.5% from $33.3 million in the same period last year, primarily due to the expansion and usage growth of our real-time engagement service in sectors such as live shopping, social and entertainment, and financial service.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Cost of Revenues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Cost of revenues was $13.8 million in the first quarter of 2026, an increase of 29.9% from $10.6 million in the same period last year, primarily due to increases in bandwidth and server costs and costs related to conversational AI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860425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 w:name="page4"/>
    <w:bookmarkEnd w:id="3"/>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Gross Profit and Gross Margin</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Gross profit was $23.9 million in the first quarter of 2026, an increase of 5.7% from $22.6 million in the same period last year. Gross margin was 63.4% in the first quarter of 2026, a decrease of 4.6% from 68.0% in the same period last year, mainly due to product mix changes, including conversational AI products remaining at a sub-scale stage.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Expenses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Operating expenses were $26.4 million in the first quarter of 2026, a decrease of 0.4% from $26.5 million in the same period last year.</w:t>
      </w:r>
    </w:p>
    <w:p>
      <w:pPr>
        <w:spacing w:after="0" w:line="196" w:lineRule="exact"/>
        <w:rPr>
          <w:sz w:val="20"/>
          <w:szCs w:val="20"/>
          <w:color w:val="auto"/>
        </w:rPr>
      </w:pPr>
    </w:p>
    <w:p>
      <w:pPr>
        <w:ind w:left="380" w:hanging="372"/>
        <w:spacing w:after="0" w:line="247"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Research and development </w:t>
      </w:r>
      <w:r>
        <w:rPr>
          <w:rFonts w:ascii="Arial" w:cs="Arial" w:eastAsia="Arial" w:hAnsi="Arial"/>
          <w:sz w:val="19"/>
          <w:szCs w:val="19"/>
          <w:color w:val="auto"/>
        </w:rPr>
        <w:t>expenses were $14.4 million in the first quarter of 2026, an increase of 2.9% from $14.0 million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same period last year, primarily due to increased investment in conversational AI products.</w:t>
      </w:r>
    </w:p>
    <w:p>
      <w:pPr>
        <w:ind w:left="380" w:hanging="372"/>
        <w:spacing w:after="0" w:line="237"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Sales and marketing </w:t>
      </w:r>
      <w:r>
        <w:rPr>
          <w:rFonts w:ascii="Arial" w:cs="Arial" w:eastAsia="Arial" w:hAnsi="Arial"/>
          <w:sz w:val="19"/>
          <w:szCs w:val="19"/>
          <w:color w:val="auto"/>
        </w:rPr>
        <w:t>expenses were $5.9 million in the first quarter of 2026, a decrease of 4.8% from $6.2 million in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last year, primarily due to disciplined expense management, including lower personnel and promotion expenses.</w:t>
      </w:r>
    </w:p>
    <w:p>
      <w:pPr>
        <w:jc w:val="both"/>
        <w:ind w:left="380" w:hanging="372"/>
        <w:spacing w:after="0" w:line="244"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9"/>
          <w:szCs w:val="19"/>
          <w:b w:val="1"/>
          <w:bCs w:val="1"/>
          <w:color w:val="auto"/>
        </w:rPr>
        <w:t xml:space="preserve">General and administrative </w:t>
      </w:r>
      <w:r>
        <w:rPr>
          <w:rFonts w:ascii="Arial" w:cs="Arial" w:eastAsia="Arial" w:hAnsi="Arial"/>
          <w:sz w:val="19"/>
          <w:szCs w:val="19"/>
          <w:color w:val="auto"/>
        </w:rPr>
        <w:t>expenses were $6.0 million in the first quarter of 2026, a decrease of 3.4% from $6.2 million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same period last year, primarily due to a decrease in allowance for current expected credit losses, mainly as a result of improved customer credit conditions and collection outcomes.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Loss from Operations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Loss from operations was $1.6 million in the first quarter of 2026, compared to $3.7 million in the same period last year.</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Income</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Interest income was $3.4 million in the first quarter of 2026, compared to $3.6 million in the same period last year, primarily due to the decrease in the average principal amount.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 (Loss) Income</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Investment loss was $0.9 million in the first quarter of 2026, compared to investment income of $0.7 million in the same period last year, primarily due to fair value changes in equity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Income per American Depositary Share Attributable to Ordinary Shareholders</w:t>
      </w:r>
    </w:p>
    <w:p>
      <w:pPr>
        <w:spacing w:after="0" w:line="4" w:lineRule="exact"/>
        <w:rPr>
          <w:sz w:val="20"/>
          <w:szCs w:val="20"/>
          <w:color w:val="auto"/>
        </w:rPr>
      </w:pPr>
    </w:p>
    <w:p>
      <w:pPr>
        <w:ind w:right="20"/>
        <w:spacing w:after="0" w:line="217" w:lineRule="auto"/>
        <w:rPr>
          <w:sz w:val="20"/>
          <w:szCs w:val="20"/>
          <w:color w:val="auto"/>
        </w:rPr>
      </w:pPr>
      <w:r>
        <w:rPr>
          <w:rFonts w:ascii="Arial" w:cs="Arial" w:eastAsia="Arial" w:hAnsi="Arial"/>
          <w:sz w:val="19"/>
          <w:szCs w:val="19"/>
          <w:color w:val="auto"/>
        </w:rPr>
        <w:t>Basic and diluted net income per American Depositary Share (“ADS”)</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attributable to ordinary shareholders was $0.01 in the first quarter of 2026, compared to $0.004 in the same period last year.</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Share Repurchase Program</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During the three months ended March 31, 2026, the Company repurchased approximately 12.5 million of its Class A ordinary shares (equivalent to approximately 3.1 million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16884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48"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4"/>
          <w:szCs w:val="24"/>
          <w:color w:val="auto"/>
          <w:vertAlign w:val="superscript"/>
        </w:rPr>
      </w:pPr>
      <w:r>
        <w:rPr>
          <w:rFonts w:ascii="Arial" w:cs="Arial" w:eastAsia="Arial" w:hAnsi="Arial"/>
          <w:sz w:val="18"/>
          <w:szCs w:val="18"/>
          <w:color w:val="auto"/>
        </w:rPr>
        <w:t>One ADS represents four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9"/>
          <w:szCs w:val="19"/>
          <w:color w:val="auto"/>
        </w:rPr>
        <w:t>for approximately US$13.1 million under its share repurchase program, representing 6.5% of its US$200 million share repurchase program.</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As of March 31, 2026, the Company had repurchased approximately 174.7 million of its Class A ordinary shares (equivalent to approximately 43.7 million ADSs) for approximately US$156.2 million under its share repurchase program, representing 78.1% of its US$200 million share repurchase program.</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As of March 31, 2026, the Company had 338.2 million ordinary shares (equivalent to approximately 84.5 million ADSs) outstanding, compared to 449.8 million ordinary shares (equivalent to approximately 112.5 million ADSs) outstanding as of January 31, 2022 before the share repurchase program commenced.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current share repurchase program will expire at the end of February 2027.</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Outlook</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Based on currently available information, the Company expects total revenues for the second quarter of 2026 to be between $39.0 million and $40.0 million, representing year-over-year growth of 13.7% to 16.6%. This outlook reflects the Company's current and preliminary views on the market and operational conditions, which are subject to change.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Earnings Call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conference call to discuss the financial results at 6 p.m. Pacific Time / 9 p.m. Eastern Time on May 26, 2026.</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Details for the conference call are as follows:</w:t>
      </w:r>
    </w:p>
    <w:p>
      <w:pPr>
        <w:spacing w:after="0" w:line="237" w:lineRule="auto"/>
        <w:rPr>
          <w:sz w:val="20"/>
          <w:szCs w:val="20"/>
          <w:color w:val="auto"/>
        </w:rPr>
      </w:pPr>
      <w:r>
        <w:rPr>
          <w:rFonts w:ascii="Arial" w:cs="Arial" w:eastAsia="Arial" w:hAnsi="Arial"/>
          <w:sz w:val="19"/>
          <w:szCs w:val="19"/>
          <w:color w:val="auto"/>
        </w:rPr>
        <w:t>Event title: Agora, Inc. 1Q 2026 Financial Results</w:t>
      </w:r>
    </w:p>
    <w:p>
      <w:pPr>
        <w:spacing w:after="0" w:line="237" w:lineRule="auto"/>
        <w:rPr>
          <w:sz w:val="20"/>
          <w:szCs w:val="20"/>
          <w:color w:val="auto"/>
        </w:rPr>
      </w:pPr>
      <w:r>
        <w:rPr>
          <w:rFonts w:ascii="Arial" w:cs="Arial" w:eastAsia="Arial" w:hAnsi="Arial"/>
          <w:sz w:val="19"/>
          <w:szCs w:val="19"/>
          <w:color w:val="auto"/>
        </w:rPr>
        <w:t>The call will be available at https://edge.media-server.com/mmc/p/vbsrxuhv</w:t>
      </w:r>
    </w:p>
    <w:p>
      <w:pPr>
        <w:spacing w:after="0" w:line="237" w:lineRule="auto"/>
        <w:rPr>
          <w:sz w:val="20"/>
          <w:szCs w:val="20"/>
          <w:color w:val="auto"/>
        </w:rPr>
      </w:pPr>
      <w:r>
        <w:rPr>
          <w:rFonts w:ascii="Arial" w:cs="Arial" w:eastAsia="Arial" w:hAnsi="Arial"/>
          <w:sz w:val="19"/>
          <w:szCs w:val="19"/>
          <w:color w:val="auto"/>
        </w:rPr>
        <w:t>Investors who want to hear the call should log on at least 15 minutes prior to the broadcast. Participants may register for the call with</w:t>
      </w:r>
    </w:p>
    <w:p>
      <w:pPr>
        <w:spacing w:after="0" w:line="238" w:lineRule="auto"/>
        <w:rPr>
          <w:sz w:val="20"/>
          <w:szCs w:val="20"/>
          <w:color w:val="auto"/>
        </w:rPr>
      </w:pPr>
      <w:r>
        <w:rPr>
          <w:rFonts w:ascii="Arial" w:cs="Arial" w:eastAsia="Arial" w:hAnsi="Arial"/>
          <w:sz w:val="19"/>
          <w:szCs w:val="19"/>
          <w:color w:val="auto"/>
        </w:rPr>
        <w:t>the link below.</w:t>
      </w:r>
    </w:p>
    <w:p>
      <w:pPr>
        <w:spacing w:after="0" w:line="237" w:lineRule="auto"/>
        <w:rPr>
          <w:sz w:val="20"/>
          <w:szCs w:val="20"/>
          <w:color w:val="auto"/>
        </w:rPr>
      </w:pPr>
      <w:r>
        <w:rPr>
          <w:rFonts w:ascii="Arial" w:cs="Arial" w:eastAsia="Arial" w:hAnsi="Arial"/>
          <w:sz w:val="19"/>
          <w:szCs w:val="19"/>
          <w:color w:val="auto"/>
        </w:rPr>
        <w:t>https://register-conf.media-server.com/register/BIdac26bffc0104a0da1dfcd94c16d1908</w:t>
      </w:r>
    </w:p>
    <w:p>
      <w:pPr>
        <w:jc w:val="both"/>
        <w:spacing w:after="0" w:line="251" w:lineRule="auto"/>
        <w:rPr>
          <w:sz w:val="20"/>
          <w:szCs w:val="20"/>
          <w:color w:val="auto"/>
        </w:rPr>
      </w:pPr>
      <w:r>
        <w:rPr>
          <w:rFonts w:ascii="Arial" w:cs="Arial" w:eastAsia="Arial" w:hAnsi="Arial"/>
          <w:sz w:val="19"/>
          <w:szCs w:val="19"/>
          <w:color w:val="auto"/>
        </w:rPr>
        <w:t>Please visit the Company's investor relations website at https://investor.agora.io on May 26, 2026 to view the earnings release and accompanying slides prior to the conference call.</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Operating Metrics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 also uses other operating metrics included in this press release and defined below to assess the performance of its business.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Active Customers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An active customer at the end of any period is defined as an organization or individual developer from which the Company generated more than $100 of revenue during the preceding 12 months, excluding customers from Easemob. Customers are counted based on unique customer account identifiers. Generally, one software application uses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customer account identifier throughout its life cycle while one account may be used for multiple applications.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Dollar-Based Net Retention Rate</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Dollar-Based Net Retention Rate is calculated by comparing the quarterly revenue from paying customers, excluding revenue from certain end-of-sale products, in the quarter four quarters prior to the most recent quarter to the quarterly revenue from the same set of customers in the most recent quarter. The Company believes Dollar-Based Net Retention Rate facilitates operating performance comparisons on a period-to-period basis.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Safe Harbor Statements</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the Company's financial outlook, beliefs, and expectations. Forward-looking statements include statements containing words such as “expect,” “anticipate,” “believe,” “project,” “will,” and similar expressions intended to identify forward-looking statements. Among other things, the Financial Outlook in this announcement contains forward-looking statements. These forward-looking statements are based on the Company's current expectations and involve risks and uncertainties. The Company's actual results and the timing of events could differ materially from those anticipated in such forward-looking statements as a result of these risks and uncertainties, which include, without limitation, risks related to the growth of the RTE-PaaS market; the Company's ability to manage its growth and expand its operations; the Company's ability to attract new developers and convert them into customers; the Company's ability to retain existing customers and expand their usage of its platform and products; the Company's ability to drive popularity of existing use cases and enable new use cases, including through quality enhancements and introduction of new products, features, and functionalities; the Company's fluctuating operating results; competition; the effect of broader technological and market trends on the Company's business and prospects; general economic conditions and their impact on customer and end-user demand; and other risks and uncertainties included elsewhere in the Company's filings with the Securities and Exchange Commission (“SEC”), including, without limitation, the Company's annual report on Form 20-F for the year ended December 31, 2025 and other filings with the SEC.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Agora,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0A0A0A"/>
        </w:rPr>
        <w:t>Agora, Inc. is the holding company of two independent divisions, under the Agora brand and the Shengwang brand, respectively.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0A0A0A"/>
        </w:rPr>
        <w:t>Headquartered in Santa Clara, California, Agora is a pioneer and global leader in conversational AI and Real-Time Engagement Platform-as-a-Service (PaaS), providing developers with simple, flexible, and powerful application programming interfaces, or APIs, to embed real-time conversational AI, video, voice, chat, and interactive streaming into their applications.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0A0A0A"/>
        </w:rPr>
        <w:t>Headquartered in Shanghai, China, Shengwang is a pioneer and leading conversational AI and Real-Time Engagement PaaS provider in the China market.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on Agora, please visit: </w:t>
      </w:r>
      <w:r>
        <w:rPr>
          <w:rFonts w:ascii="Arial" w:cs="Arial" w:eastAsia="Arial" w:hAnsi="Arial"/>
          <w:sz w:val="19"/>
          <w:szCs w:val="19"/>
          <w:i w:val="1"/>
          <w:iCs w:val="1"/>
          <w:color w:val="auto"/>
        </w:rPr>
        <w:t>www.agora.io</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on Shengwang, please visit: </w:t>
      </w:r>
      <w:r>
        <w:rPr>
          <w:rFonts w:ascii="Arial" w:cs="Arial" w:eastAsia="Arial" w:hAnsi="Arial"/>
          <w:sz w:val="19"/>
          <w:szCs w:val="19"/>
          <w:i w:val="1"/>
          <w:iCs w:val="1"/>
          <w:color w:val="auto"/>
        </w:rPr>
        <w:t>www.shengwang.cn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investor@agora.io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press@agora.io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Agora,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Balance Sheets</w:t>
      </w:r>
    </w:p>
    <w:p>
      <w:pPr>
        <w:spacing w:after="0"/>
        <w:rPr>
          <w:sz w:val="20"/>
          <w:szCs w:val="20"/>
          <w:color w:val="auto"/>
        </w:rPr>
      </w:pPr>
      <w:r>
        <w:rPr>
          <w:rFonts w:ascii="Arial" w:cs="Arial" w:eastAsia="Arial" w:hAnsi="Arial"/>
          <w:sz w:val="19"/>
          <w:szCs w:val="19"/>
          <w:b w:val="1"/>
          <w:bCs w:val="1"/>
          <w:color w:val="auto"/>
        </w:rPr>
        <w:t>(Unaudited, in US$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96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9"/>
                <w:szCs w:val="19"/>
                <w:color w:val="auto"/>
              </w:rPr>
              <w:t>As of</w:t>
            </w:r>
          </w:p>
        </w:tc>
        <w:tc>
          <w:tcPr>
            <w:tcW w:w="3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w w:val="96"/>
              </w:rPr>
              <w:t>As of</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9"/>
                <w:szCs w:val="19"/>
                <w:color w:val="auto"/>
                <w:w w:val="99"/>
              </w:rPr>
              <w:t>March 31,</w:t>
            </w:r>
          </w:p>
        </w:tc>
        <w:tc>
          <w:tcPr>
            <w:tcW w:w="3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w w:val="98"/>
              </w:rPr>
              <w:t>December 31,</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9"/>
                <w:szCs w:val="19"/>
                <w:color w:val="auto"/>
                <w:w w:val="99"/>
              </w:rPr>
              <w:t>2026</w:t>
            </w:r>
          </w:p>
        </w:tc>
        <w:tc>
          <w:tcPr>
            <w:tcW w:w="2280" w:type="dxa"/>
            <w:vAlign w:val="bottom"/>
            <w:gridSpan w:val="2"/>
          </w:tcPr>
          <w:p>
            <w:pPr>
              <w:jc w:val="center"/>
              <w:ind w:left="206"/>
              <w:spacing w:after="0"/>
              <w:rPr>
                <w:sz w:val="20"/>
                <w:szCs w:val="20"/>
                <w:color w:val="auto"/>
              </w:rPr>
            </w:pPr>
            <w:r>
              <w:rPr>
                <w:rFonts w:ascii="Arial" w:cs="Arial" w:eastAsia="Arial" w:hAnsi="Arial"/>
                <w:sz w:val="19"/>
                <w:szCs w:val="19"/>
                <w:color w:val="auto"/>
                <w:w w:val="99"/>
              </w:rPr>
              <w:t>2025</w:t>
            </w:r>
          </w:p>
        </w:tc>
        <w:tc>
          <w:tcPr>
            <w:tcW w:w="0" w:type="dxa"/>
            <w:vAlign w:val="bottom"/>
          </w:tcPr>
          <w:p>
            <w:pPr>
              <w:spacing w:after="0"/>
              <w:rPr>
                <w:sz w:val="1"/>
                <w:szCs w:val="1"/>
                <w:color w:val="auto"/>
              </w:rPr>
            </w:pPr>
          </w:p>
        </w:tc>
      </w:tr>
      <w:tr>
        <w:trPr>
          <w:trHeight w:val="269"/>
        </w:trPr>
        <w:tc>
          <w:tcPr>
            <w:tcW w:w="6960" w:type="dxa"/>
            <w:vAlign w:val="bottom"/>
          </w:tcPr>
          <w:p>
            <w:pPr>
              <w:ind w:left="100"/>
              <w:spacing w:after="0"/>
              <w:rPr>
                <w:sz w:val="20"/>
                <w:szCs w:val="20"/>
                <w:color w:val="auto"/>
              </w:rPr>
            </w:pPr>
            <w:r>
              <w:rPr>
                <w:rFonts w:ascii="Arial" w:cs="Arial" w:eastAsia="Arial" w:hAnsi="Arial"/>
                <w:sz w:val="19"/>
                <w:szCs w:val="19"/>
                <w:color w:val="auto"/>
              </w:rPr>
              <w:t>Assets</w:t>
            </w:r>
          </w:p>
        </w:tc>
        <w:tc>
          <w:tcPr>
            <w:tcW w:w="200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Current assets:</w:t>
            </w:r>
          </w:p>
        </w:tc>
        <w:tc>
          <w:tcPr>
            <w:tcW w:w="2000" w:type="dxa"/>
            <w:vAlign w:val="bottom"/>
            <w:vMerge w:val="restart"/>
          </w:tcPr>
          <w:p>
            <w:pPr>
              <w:jc w:val="right"/>
              <w:ind w:right="5"/>
              <w:spacing w:after="0"/>
              <w:rPr>
                <w:sz w:val="20"/>
                <w:szCs w:val="20"/>
                <w:color w:val="auto"/>
              </w:rPr>
            </w:pPr>
            <w:r>
              <w:rPr>
                <w:rFonts w:ascii="Arial" w:cs="Arial" w:eastAsia="Arial" w:hAnsi="Arial"/>
                <w:sz w:val="19"/>
                <w:szCs w:val="19"/>
                <w:color w:val="auto"/>
              </w:rPr>
              <w:t>105,068</w:t>
            </w:r>
          </w:p>
        </w:tc>
        <w:tc>
          <w:tcPr>
            <w:tcW w:w="2280" w:type="dxa"/>
            <w:vAlign w:val="bottom"/>
            <w:gridSpan w:val="2"/>
            <w:vMerge w:val="restart"/>
          </w:tcPr>
          <w:p>
            <w:pPr>
              <w:jc w:val="right"/>
              <w:ind w:right="6"/>
              <w:spacing w:after="0"/>
              <w:rPr>
                <w:sz w:val="20"/>
                <w:szCs w:val="20"/>
                <w:color w:val="auto"/>
              </w:rPr>
            </w:pPr>
            <w:r>
              <w:rPr>
                <w:rFonts w:ascii="Arial" w:cs="Arial" w:eastAsia="Arial" w:hAnsi="Arial"/>
                <w:sz w:val="19"/>
                <w:szCs w:val="19"/>
                <w:color w:val="auto"/>
              </w:rPr>
              <w:t>75,446</w:t>
            </w:r>
          </w:p>
        </w:tc>
        <w:tc>
          <w:tcPr>
            <w:tcW w:w="0" w:type="dxa"/>
            <w:vAlign w:val="bottom"/>
          </w:tcPr>
          <w:p>
            <w:pPr>
              <w:spacing w:after="0"/>
              <w:rPr>
                <w:sz w:val="1"/>
                <w:szCs w:val="1"/>
                <w:color w:val="auto"/>
              </w:rPr>
            </w:pPr>
          </w:p>
        </w:tc>
      </w:tr>
      <w:tr>
        <w:trPr>
          <w:trHeight w:val="223"/>
        </w:trPr>
        <w:tc>
          <w:tcPr>
            <w:tcW w:w="6960" w:type="dxa"/>
            <w:vAlign w:val="bottom"/>
          </w:tcPr>
          <w:p>
            <w:pPr>
              <w:ind w:left="100"/>
              <w:spacing w:after="0"/>
              <w:rPr>
                <w:sz w:val="20"/>
                <w:szCs w:val="20"/>
                <w:color w:val="auto"/>
              </w:rPr>
            </w:pPr>
            <w:r>
              <w:rPr>
                <w:rFonts w:ascii="Arial" w:cs="Arial" w:eastAsia="Arial" w:hAnsi="Arial"/>
                <w:sz w:val="19"/>
                <w:szCs w:val="19"/>
                <w:color w:val="auto"/>
              </w:rPr>
              <w:t>Cash and cash equivalents</w:t>
            </w:r>
          </w:p>
        </w:tc>
        <w:tc>
          <w:tcPr>
            <w:tcW w:w="2000" w:type="dxa"/>
            <w:vAlign w:val="bottom"/>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Short-term bank deposits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179,036</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84,460</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Short-term financial products issued by banks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52,000</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55,000</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Short-term investments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3,585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4,583</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Restricted cash</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200</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200</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Accounts receivable, net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24,895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24,867</w:t>
            </w:r>
          </w:p>
        </w:tc>
        <w:tc>
          <w:tcPr>
            <w:tcW w:w="0" w:type="dxa"/>
            <w:vAlign w:val="bottom"/>
          </w:tcPr>
          <w:p>
            <w:pPr>
              <w:spacing w:after="0"/>
              <w:rPr>
                <w:sz w:val="1"/>
                <w:szCs w:val="1"/>
                <w:color w:val="auto"/>
              </w:rPr>
            </w:pPr>
          </w:p>
        </w:tc>
      </w:tr>
      <w:tr>
        <w:trPr>
          <w:trHeight w:val="216"/>
        </w:trPr>
        <w:tc>
          <w:tcPr>
            <w:tcW w:w="6960" w:type="dxa"/>
            <w:vAlign w:val="bottom"/>
          </w:tcPr>
          <w:p>
            <w:pPr>
              <w:ind w:left="100"/>
              <w:spacing w:after="0" w:line="216" w:lineRule="exact"/>
              <w:rPr>
                <w:sz w:val="20"/>
                <w:szCs w:val="20"/>
                <w:color w:val="auto"/>
              </w:rPr>
            </w:pPr>
            <w:r>
              <w:rPr>
                <w:rFonts w:ascii="Arial" w:cs="Arial" w:eastAsia="Arial" w:hAnsi="Arial"/>
                <w:sz w:val="19"/>
                <w:szCs w:val="19"/>
                <w:color w:val="auto"/>
              </w:rPr>
              <w:t>Prepayments and other current assets</w:t>
            </w:r>
          </w:p>
        </w:tc>
        <w:tc>
          <w:tcPr>
            <w:tcW w:w="2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18,290</w:t>
            </w:r>
          </w:p>
        </w:tc>
        <w:tc>
          <w:tcPr>
            <w:tcW w:w="2280" w:type="dxa"/>
            <w:vAlign w:val="bottom"/>
            <w:gridSpan w:val="2"/>
          </w:tcPr>
          <w:p>
            <w:pPr>
              <w:jc w:val="right"/>
              <w:ind w:right="6"/>
              <w:spacing w:after="0" w:line="216" w:lineRule="exact"/>
              <w:rPr>
                <w:sz w:val="20"/>
                <w:szCs w:val="20"/>
                <w:color w:val="auto"/>
              </w:rPr>
            </w:pPr>
            <w:r>
              <w:rPr>
                <w:rFonts w:ascii="Arial" w:cs="Arial" w:eastAsia="Arial" w:hAnsi="Arial"/>
                <w:sz w:val="19"/>
                <w:szCs w:val="19"/>
                <w:color w:val="auto"/>
              </w:rPr>
              <w:t>14,590</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Contract assets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125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9"/>
                <w:szCs w:val="19"/>
                <w:color w:val="auto"/>
              </w:rPr>
              <w:t>Held-for-sale assets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831</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831</w:t>
            </w:r>
          </w:p>
        </w:tc>
        <w:tc>
          <w:tcPr>
            <w:tcW w:w="0" w:type="dxa"/>
            <w:vAlign w:val="bottom"/>
          </w:tcPr>
          <w:p>
            <w:pPr>
              <w:spacing w:after="0"/>
              <w:rPr>
                <w:sz w:val="1"/>
                <w:szCs w:val="1"/>
                <w:color w:val="auto"/>
              </w:rPr>
            </w:pPr>
          </w:p>
        </w:tc>
      </w:tr>
      <w:tr>
        <w:trPr>
          <w:trHeight w:val="223"/>
        </w:trPr>
        <w:tc>
          <w:tcPr>
            <w:tcW w:w="6960" w:type="dxa"/>
            <w:vAlign w:val="bottom"/>
          </w:tcPr>
          <w:p>
            <w:pPr>
              <w:ind w:left="100"/>
              <w:spacing w:after="0"/>
              <w:rPr>
                <w:sz w:val="20"/>
                <w:szCs w:val="20"/>
                <w:color w:val="auto"/>
              </w:rPr>
            </w:pPr>
            <w:r>
              <w:rPr>
                <w:rFonts w:ascii="Arial" w:cs="Arial" w:eastAsia="Arial" w:hAnsi="Arial"/>
                <w:sz w:val="19"/>
                <w:szCs w:val="19"/>
                <w:color w:val="auto"/>
              </w:rPr>
              <w:t>Total current assets</w:t>
            </w:r>
          </w:p>
        </w:tc>
        <w:tc>
          <w:tcPr>
            <w:tcW w:w="20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384,030</w:t>
            </w:r>
          </w:p>
        </w:tc>
        <w:tc>
          <w:tcPr>
            <w:tcW w:w="300" w:type="dxa"/>
            <w:vAlign w:val="bottom"/>
          </w:tcPr>
          <w:p>
            <w:pPr>
              <w:spacing w:after="0"/>
              <w:rPr>
                <w:sz w:val="19"/>
                <w:szCs w:val="19"/>
                <w:color w:val="auto"/>
              </w:rPr>
            </w:pPr>
          </w:p>
        </w:tc>
        <w:tc>
          <w:tcPr>
            <w:tcW w:w="1980" w:type="dxa"/>
            <w:vAlign w:val="bottom"/>
            <w:tcBorders>
              <w:top w:val="single" w:sz="8" w:color="auto"/>
            </w:tcBorders>
          </w:tcPr>
          <w:p>
            <w:pPr>
              <w:jc w:val="right"/>
              <w:ind w:right="6"/>
              <w:spacing w:after="0"/>
              <w:rPr>
                <w:sz w:val="20"/>
                <w:szCs w:val="20"/>
                <w:color w:val="auto"/>
              </w:rPr>
            </w:pPr>
            <w:r>
              <w:rPr>
                <w:rFonts w:ascii="Arial" w:cs="Arial" w:eastAsia="Arial" w:hAnsi="Arial"/>
                <w:sz w:val="19"/>
                <w:szCs w:val="19"/>
                <w:color w:val="auto"/>
              </w:rPr>
              <w:t>260,100</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Property and equipment, net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3,699</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3,947</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Construction in progress in relation to the headquarters project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96,845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84,239</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Operating lease right-of-use assets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1,855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2,145</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Intangible assets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17</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Long-term bank deposits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30,000</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160,001</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Long-term investments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29,239</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29,182</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Land use right, net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163,265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161,591</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9"/>
                <w:szCs w:val="19"/>
                <w:color w:val="auto"/>
              </w:rPr>
              <w:t>Other non-current assets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15,232</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19,798</w:t>
            </w:r>
          </w:p>
        </w:tc>
        <w:tc>
          <w:tcPr>
            <w:tcW w:w="0" w:type="dxa"/>
            <w:vAlign w:val="bottom"/>
          </w:tcPr>
          <w:p>
            <w:pPr>
              <w:spacing w:after="0"/>
              <w:rPr>
                <w:sz w:val="1"/>
                <w:szCs w:val="1"/>
                <w:color w:val="auto"/>
              </w:rPr>
            </w:pPr>
          </w:p>
        </w:tc>
      </w:tr>
      <w:tr>
        <w:trPr>
          <w:trHeight w:val="210"/>
        </w:trPr>
        <w:tc>
          <w:tcPr>
            <w:tcW w:w="6960" w:type="dxa"/>
            <w:vAlign w:val="bottom"/>
          </w:tcPr>
          <w:p>
            <w:pPr>
              <w:ind w:left="100"/>
              <w:spacing w:after="0" w:line="196" w:lineRule="exact"/>
              <w:rPr>
                <w:sz w:val="20"/>
                <w:szCs w:val="20"/>
                <w:color w:val="auto"/>
              </w:rPr>
            </w:pPr>
            <w:r>
              <w:rPr>
                <w:rFonts w:ascii="Arial" w:cs="Arial" w:eastAsia="Arial" w:hAnsi="Arial"/>
                <w:sz w:val="19"/>
                <w:szCs w:val="19"/>
                <w:color w:val="auto"/>
              </w:rPr>
              <w:t>Total assets</w:t>
            </w:r>
          </w:p>
        </w:tc>
        <w:tc>
          <w:tcPr>
            <w:tcW w:w="2000" w:type="dxa"/>
            <w:vAlign w:val="bottom"/>
            <w:tcBorders>
              <w:top w:val="single" w:sz="8" w:color="auto"/>
              <w:bottom w:val="single" w:sz="8" w:color="auto"/>
            </w:tcBorders>
          </w:tcPr>
          <w:p>
            <w:pPr>
              <w:jc w:val="right"/>
              <w:ind w:right="5"/>
              <w:spacing w:after="0" w:line="196" w:lineRule="exact"/>
              <w:rPr>
                <w:sz w:val="20"/>
                <w:szCs w:val="20"/>
                <w:color w:val="auto"/>
              </w:rPr>
            </w:pPr>
            <w:r>
              <w:rPr>
                <w:rFonts w:ascii="Arial" w:cs="Arial" w:eastAsia="Arial" w:hAnsi="Arial"/>
                <w:sz w:val="19"/>
                <w:szCs w:val="19"/>
                <w:color w:val="auto"/>
              </w:rPr>
              <w:t>724,182</w:t>
            </w:r>
          </w:p>
        </w:tc>
        <w:tc>
          <w:tcPr>
            <w:tcW w:w="300" w:type="dxa"/>
            <w:vAlign w:val="bottom"/>
          </w:tcPr>
          <w:p>
            <w:pPr>
              <w:spacing w:after="0"/>
              <w:rPr>
                <w:sz w:val="18"/>
                <w:szCs w:val="18"/>
                <w:color w:val="auto"/>
              </w:rPr>
            </w:pPr>
          </w:p>
        </w:tc>
        <w:tc>
          <w:tcPr>
            <w:tcW w:w="1980" w:type="dxa"/>
            <w:vAlign w:val="bottom"/>
            <w:tcBorders>
              <w:top w:val="single" w:sz="8" w:color="auto"/>
              <w:bottom w:val="single" w:sz="8" w:color="auto"/>
            </w:tcBorders>
          </w:tcPr>
          <w:p>
            <w:pPr>
              <w:jc w:val="right"/>
              <w:ind w:right="6"/>
              <w:spacing w:after="0" w:line="196" w:lineRule="exact"/>
              <w:rPr>
                <w:sz w:val="20"/>
                <w:szCs w:val="20"/>
                <w:color w:val="auto"/>
              </w:rPr>
            </w:pPr>
            <w:r>
              <w:rPr>
                <w:rFonts w:ascii="Arial" w:cs="Arial" w:eastAsia="Arial" w:hAnsi="Arial"/>
                <w:sz w:val="19"/>
                <w:szCs w:val="19"/>
                <w:color w:val="auto"/>
              </w:rPr>
              <w:t>721,099</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00"/>
              <w:spacing w:after="0"/>
              <w:rPr>
                <w:sz w:val="20"/>
                <w:szCs w:val="20"/>
                <w:color w:val="auto"/>
              </w:rPr>
            </w:pPr>
            <w:r>
              <w:rPr>
                <w:rFonts w:ascii="Arial" w:cs="Arial" w:eastAsia="Arial" w:hAnsi="Arial"/>
                <w:sz w:val="19"/>
                <w:szCs w:val="19"/>
                <w:color w:val="auto"/>
              </w:rPr>
              <w:t>Liabilities and shareholders’ equity</w:t>
            </w:r>
          </w:p>
        </w:tc>
        <w:tc>
          <w:tcPr>
            <w:tcW w:w="2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960" w:type="dxa"/>
            <w:vAlign w:val="bottom"/>
            <w:vMerge w:val="continue"/>
          </w:tcPr>
          <w:p>
            <w:pPr>
              <w:spacing w:after="0"/>
              <w:rPr>
                <w:sz w:val="22"/>
                <w:szCs w:val="22"/>
                <w:color w:val="auto"/>
              </w:rPr>
            </w:pPr>
          </w:p>
        </w:tc>
        <w:tc>
          <w:tcPr>
            <w:tcW w:w="2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Current liabilities:</w:t>
            </w:r>
          </w:p>
        </w:tc>
        <w:tc>
          <w:tcPr>
            <w:tcW w:w="2000" w:type="dxa"/>
            <w:vAlign w:val="bottom"/>
            <w:vMerge w:val="restart"/>
          </w:tcPr>
          <w:p>
            <w:pPr>
              <w:jc w:val="right"/>
              <w:ind w:right="5"/>
              <w:spacing w:after="0"/>
              <w:rPr>
                <w:sz w:val="20"/>
                <w:szCs w:val="20"/>
                <w:color w:val="auto"/>
              </w:rPr>
            </w:pPr>
            <w:r>
              <w:rPr>
                <w:rFonts w:ascii="Arial" w:cs="Arial" w:eastAsia="Arial" w:hAnsi="Arial"/>
                <w:sz w:val="19"/>
                <w:szCs w:val="19"/>
                <w:color w:val="auto"/>
              </w:rPr>
              <w:t>10,824</w:t>
            </w:r>
          </w:p>
        </w:tc>
        <w:tc>
          <w:tcPr>
            <w:tcW w:w="2280" w:type="dxa"/>
            <w:vAlign w:val="bottom"/>
            <w:gridSpan w:val="2"/>
            <w:vMerge w:val="restart"/>
          </w:tcPr>
          <w:p>
            <w:pPr>
              <w:jc w:val="right"/>
              <w:ind w:right="6"/>
              <w:spacing w:after="0"/>
              <w:rPr>
                <w:sz w:val="20"/>
                <w:szCs w:val="20"/>
                <w:color w:val="auto"/>
              </w:rPr>
            </w:pPr>
            <w:r>
              <w:rPr>
                <w:rFonts w:ascii="Arial" w:cs="Arial" w:eastAsia="Arial" w:hAnsi="Arial"/>
                <w:sz w:val="19"/>
                <w:szCs w:val="19"/>
                <w:color w:val="auto"/>
              </w:rPr>
              <w:t>9,638</w:t>
            </w:r>
          </w:p>
        </w:tc>
        <w:tc>
          <w:tcPr>
            <w:tcW w:w="0" w:type="dxa"/>
            <w:vAlign w:val="bottom"/>
          </w:tcPr>
          <w:p>
            <w:pPr>
              <w:spacing w:after="0"/>
              <w:rPr>
                <w:sz w:val="1"/>
                <w:szCs w:val="1"/>
                <w:color w:val="auto"/>
              </w:rPr>
            </w:pPr>
          </w:p>
        </w:tc>
      </w:tr>
      <w:tr>
        <w:trPr>
          <w:trHeight w:val="223"/>
        </w:trPr>
        <w:tc>
          <w:tcPr>
            <w:tcW w:w="6960" w:type="dxa"/>
            <w:vAlign w:val="bottom"/>
          </w:tcPr>
          <w:p>
            <w:pPr>
              <w:ind w:left="100"/>
              <w:spacing w:after="0"/>
              <w:rPr>
                <w:sz w:val="20"/>
                <w:szCs w:val="20"/>
                <w:color w:val="auto"/>
              </w:rPr>
            </w:pPr>
            <w:r>
              <w:rPr>
                <w:rFonts w:ascii="Arial" w:cs="Arial" w:eastAsia="Arial" w:hAnsi="Arial"/>
                <w:sz w:val="19"/>
                <w:szCs w:val="19"/>
                <w:color w:val="auto"/>
              </w:rPr>
              <w:t>Accounts payable</w:t>
            </w:r>
          </w:p>
        </w:tc>
        <w:tc>
          <w:tcPr>
            <w:tcW w:w="2000" w:type="dxa"/>
            <w:vAlign w:val="bottom"/>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Advances from customers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8,422</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7,906</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Taxes payable</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621</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696</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Current operating lease liabilities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1,355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1,521</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Payables for construction costs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17,299</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16,607</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9"/>
                <w:szCs w:val="19"/>
                <w:color w:val="auto"/>
              </w:rPr>
              <w:t>Accrued expenses and other current liabilities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18,809</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20,417</w:t>
            </w:r>
          </w:p>
        </w:tc>
        <w:tc>
          <w:tcPr>
            <w:tcW w:w="0" w:type="dxa"/>
            <w:vAlign w:val="bottom"/>
          </w:tcPr>
          <w:p>
            <w:pPr>
              <w:spacing w:after="0"/>
              <w:rPr>
                <w:sz w:val="1"/>
                <w:szCs w:val="1"/>
                <w:color w:val="auto"/>
              </w:rPr>
            </w:pPr>
          </w:p>
        </w:tc>
      </w:tr>
      <w:tr>
        <w:trPr>
          <w:trHeight w:val="223"/>
        </w:trPr>
        <w:tc>
          <w:tcPr>
            <w:tcW w:w="6960" w:type="dxa"/>
            <w:vAlign w:val="bottom"/>
          </w:tcPr>
          <w:p>
            <w:pPr>
              <w:ind w:left="100"/>
              <w:spacing w:after="0"/>
              <w:rPr>
                <w:sz w:val="20"/>
                <w:szCs w:val="20"/>
                <w:color w:val="auto"/>
              </w:rPr>
            </w:pPr>
            <w:r>
              <w:rPr>
                <w:rFonts w:ascii="Arial" w:cs="Arial" w:eastAsia="Arial" w:hAnsi="Arial"/>
                <w:sz w:val="19"/>
                <w:szCs w:val="19"/>
                <w:color w:val="auto"/>
              </w:rPr>
              <w:t>Total current liabilities</w:t>
            </w:r>
          </w:p>
        </w:tc>
        <w:tc>
          <w:tcPr>
            <w:tcW w:w="20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57,330</w:t>
            </w:r>
          </w:p>
        </w:tc>
        <w:tc>
          <w:tcPr>
            <w:tcW w:w="300" w:type="dxa"/>
            <w:vAlign w:val="bottom"/>
          </w:tcPr>
          <w:p>
            <w:pPr>
              <w:spacing w:after="0"/>
              <w:rPr>
                <w:sz w:val="19"/>
                <w:szCs w:val="19"/>
                <w:color w:val="auto"/>
              </w:rPr>
            </w:pPr>
          </w:p>
        </w:tc>
        <w:tc>
          <w:tcPr>
            <w:tcW w:w="1980" w:type="dxa"/>
            <w:vAlign w:val="bottom"/>
            <w:tcBorders>
              <w:top w:val="single" w:sz="8" w:color="auto"/>
            </w:tcBorders>
          </w:tcPr>
          <w:p>
            <w:pPr>
              <w:jc w:val="right"/>
              <w:ind w:right="6"/>
              <w:spacing w:after="0"/>
              <w:rPr>
                <w:sz w:val="20"/>
                <w:szCs w:val="20"/>
                <w:color w:val="auto"/>
              </w:rPr>
            </w:pPr>
            <w:r>
              <w:rPr>
                <w:rFonts w:ascii="Arial" w:cs="Arial" w:eastAsia="Arial" w:hAnsi="Arial"/>
                <w:sz w:val="19"/>
                <w:szCs w:val="19"/>
                <w:color w:val="auto"/>
              </w:rPr>
              <w:t>56,785</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Long-term payable</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4</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Long-term operating lease liabilities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193</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399</w:t>
            </w:r>
          </w:p>
        </w:tc>
        <w:tc>
          <w:tcPr>
            <w:tcW w:w="0" w:type="dxa"/>
            <w:vAlign w:val="bottom"/>
          </w:tcPr>
          <w:p>
            <w:pPr>
              <w:spacing w:after="0"/>
              <w:rPr>
                <w:sz w:val="1"/>
                <w:szCs w:val="1"/>
                <w:color w:val="auto"/>
              </w:rPr>
            </w:pPr>
          </w:p>
        </w:tc>
      </w:tr>
      <w:tr>
        <w:trPr>
          <w:trHeight w:val="257"/>
        </w:trPr>
        <w:tc>
          <w:tcPr>
            <w:tcW w:w="6960" w:type="dxa"/>
            <w:vAlign w:val="bottom"/>
          </w:tcPr>
          <w:p>
            <w:pPr>
              <w:ind w:left="100"/>
              <w:spacing w:after="0"/>
              <w:rPr>
                <w:sz w:val="20"/>
                <w:szCs w:val="20"/>
                <w:color w:val="auto"/>
              </w:rPr>
            </w:pPr>
            <w:r>
              <w:rPr>
                <w:rFonts w:ascii="Arial" w:cs="Arial" w:eastAsia="Arial" w:hAnsi="Arial"/>
                <w:sz w:val="19"/>
                <w:szCs w:val="19"/>
                <w:color w:val="auto"/>
              </w:rPr>
              <w:t>Deferred tax liabilities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Long-term borrowings in relation to the headquarters project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91,125</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80,420</w:t>
            </w:r>
          </w:p>
        </w:tc>
        <w:tc>
          <w:tcPr>
            <w:tcW w:w="0" w:type="dxa"/>
            <w:vAlign w:val="bottom"/>
          </w:tcPr>
          <w:p>
            <w:pPr>
              <w:spacing w:after="0"/>
              <w:rPr>
                <w:sz w:val="1"/>
                <w:szCs w:val="1"/>
                <w:color w:val="auto"/>
              </w:rPr>
            </w:pPr>
          </w:p>
        </w:tc>
      </w:tr>
      <w:tr>
        <w:trPr>
          <w:trHeight w:val="270"/>
        </w:trPr>
        <w:tc>
          <w:tcPr>
            <w:tcW w:w="6960" w:type="dxa"/>
            <w:vAlign w:val="bottom"/>
          </w:tcPr>
          <w:p>
            <w:pPr>
              <w:ind w:left="100"/>
              <w:spacing w:after="0"/>
              <w:rPr>
                <w:sz w:val="20"/>
                <w:szCs w:val="20"/>
                <w:color w:val="auto"/>
              </w:rPr>
            </w:pPr>
            <w:r>
              <w:rPr>
                <w:rFonts w:ascii="Arial" w:cs="Arial" w:eastAsia="Arial" w:hAnsi="Arial"/>
                <w:sz w:val="19"/>
                <w:szCs w:val="19"/>
                <w:color w:val="auto"/>
              </w:rPr>
              <w:t>Advance in relation to the headquarters project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20,958</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20,632</w:t>
            </w:r>
          </w:p>
        </w:tc>
        <w:tc>
          <w:tcPr>
            <w:tcW w:w="0" w:type="dxa"/>
            <w:vAlign w:val="bottom"/>
          </w:tcPr>
          <w:p>
            <w:pPr>
              <w:spacing w:after="0"/>
              <w:rPr>
                <w:sz w:val="1"/>
                <w:szCs w:val="1"/>
                <w:color w:val="auto"/>
              </w:rPr>
            </w:pPr>
          </w:p>
        </w:tc>
      </w:tr>
      <w:tr>
        <w:trPr>
          <w:trHeight w:val="223"/>
        </w:trPr>
        <w:tc>
          <w:tcPr>
            <w:tcW w:w="6960" w:type="dxa"/>
            <w:vAlign w:val="bottom"/>
          </w:tcPr>
          <w:p>
            <w:pPr>
              <w:ind w:left="100"/>
              <w:spacing w:after="0"/>
              <w:rPr>
                <w:sz w:val="20"/>
                <w:szCs w:val="20"/>
                <w:color w:val="auto"/>
              </w:rPr>
            </w:pPr>
            <w:r>
              <w:rPr>
                <w:rFonts w:ascii="Arial" w:cs="Arial" w:eastAsia="Arial" w:hAnsi="Arial"/>
                <w:sz w:val="19"/>
                <w:szCs w:val="19"/>
                <w:color w:val="auto"/>
              </w:rPr>
              <w:t>Total liabilities</w:t>
            </w:r>
          </w:p>
        </w:tc>
        <w:tc>
          <w:tcPr>
            <w:tcW w:w="2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9"/>
                <w:szCs w:val="19"/>
                <w:color w:val="auto"/>
              </w:rPr>
              <w:t>169,610</w:t>
            </w:r>
          </w:p>
        </w:tc>
        <w:tc>
          <w:tcPr>
            <w:tcW w:w="30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9"/>
                <w:szCs w:val="19"/>
                <w:color w:val="auto"/>
              </w:rPr>
              <w:t>158,251</w:t>
            </w:r>
          </w:p>
        </w:tc>
        <w:tc>
          <w:tcPr>
            <w:tcW w:w="0" w:type="dxa"/>
            <w:vAlign w:val="bottom"/>
          </w:tcPr>
          <w:p>
            <w:pPr>
              <w:spacing w:after="0"/>
              <w:rPr>
                <w:sz w:val="1"/>
                <w:szCs w:val="1"/>
                <w:color w:val="auto"/>
              </w:rPr>
            </w:pPr>
          </w:p>
        </w:tc>
      </w:tr>
      <w:tr>
        <w:trPr>
          <w:trHeight w:val="269"/>
        </w:trPr>
        <w:tc>
          <w:tcPr>
            <w:tcW w:w="6960" w:type="dxa"/>
            <w:vAlign w:val="bottom"/>
          </w:tcPr>
          <w:p>
            <w:pPr>
              <w:ind w:left="100"/>
              <w:spacing w:after="0"/>
              <w:rPr>
                <w:sz w:val="20"/>
                <w:szCs w:val="20"/>
                <w:color w:val="auto"/>
              </w:rPr>
            </w:pPr>
            <w:r>
              <w:rPr>
                <w:rFonts w:ascii="Arial" w:cs="Arial" w:eastAsia="Arial" w:hAnsi="Arial"/>
                <w:sz w:val="19"/>
                <w:szCs w:val="19"/>
                <w:color w:val="auto"/>
              </w:rPr>
              <w:t>Shareholders’ equity:</w:t>
            </w:r>
          </w:p>
        </w:tc>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6960" w:type="dxa"/>
            <w:vAlign w:val="bottom"/>
          </w:tcPr>
          <w:p>
            <w:pPr>
              <w:ind w:left="100"/>
              <w:spacing w:after="0"/>
              <w:rPr>
                <w:sz w:val="20"/>
                <w:szCs w:val="20"/>
                <w:color w:val="auto"/>
              </w:rPr>
            </w:pPr>
            <w:r>
              <w:rPr>
                <w:rFonts w:ascii="Arial" w:cs="Arial" w:eastAsia="Arial" w:hAnsi="Arial"/>
                <w:sz w:val="19"/>
                <w:szCs w:val="19"/>
                <w:color w:val="auto"/>
              </w:rPr>
              <w:t>Class A ordinary shares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40</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39</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Class B ordinary shares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8</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Additional paid-in-capital</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1,145,796</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1,145,126</w:t>
            </w:r>
          </w:p>
        </w:tc>
        <w:tc>
          <w:tcPr>
            <w:tcW w:w="0" w:type="dxa"/>
            <w:vAlign w:val="bottom"/>
          </w:tcPr>
          <w:p>
            <w:pPr>
              <w:spacing w:after="0"/>
              <w:rPr>
                <w:sz w:val="1"/>
                <w:szCs w:val="1"/>
                <w:color w:val="auto"/>
              </w:rPr>
            </w:pPr>
          </w:p>
        </w:tc>
      </w:tr>
      <w:tr>
        <w:trPr>
          <w:trHeight w:val="256"/>
        </w:trPr>
        <w:tc>
          <w:tcPr>
            <w:tcW w:w="6960" w:type="dxa"/>
            <w:vAlign w:val="bottom"/>
          </w:tcPr>
          <w:p>
            <w:pPr>
              <w:ind w:left="100"/>
              <w:spacing w:after="0"/>
              <w:rPr>
                <w:sz w:val="20"/>
                <w:szCs w:val="20"/>
                <w:color w:val="auto"/>
              </w:rPr>
            </w:pPr>
            <w:r>
              <w:rPr>
                <w:rFonts w:ascii="Arial" w:cs="Arial" w:eastAsia="Arial" w:hAnsi="Arial"/>
                <w:sz w:val="19"/>
                <w:szCs w:val="19"/>
                <w:color w:val="auto"/>
              </w:rPr>
              <w:t>Treasury shares, at cost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(107,613)</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(95,238)</w:t>
            </w:r>
          </w:p>
        </w:tc>
        <w:tc>
          <w:tcPr>
            <w:tcW w:w="0" w:type="dxa"/>
            <w:vAlign w:val="bottom"/>
          </w:tcPr>
          <w:p>
            <w:pPr>
              <w:spacing w:after="0"/>
              <w:rPr>
                <w:sz w:val="1"/>
                <w:szCs w:val="1"/>
                <w:color w:val="auto"/>
              </w:rPr>
            </w:pPr>
          </w:p>
        </w:tc>
      </w:tr>
      <w:tr>
        <w:trPr>
          <w:trHeight w:val="290"/>
        </w:trPr>
        <w:tc>
          <w:tcPr>
            <w:tcW w:w="6960" w:type="dxa"/>
            <w:vAlign w:val="bottom"/>
          </w:tcPr>
          <w:p>
            <w:pPr>
              <w:ind w:left="100"/>
              <w:spacing w:after="0"/>
              <w:rPr>
                <w:sz w:val="20"/>
                <w:szCs w:val="20"/>
                <w:color w:val="auto"/>
              </w:rPr>
            </w:pPr>
            <w:r>
              <w:rPr>
                <w:rFonts w:ascii="Arial" w:cs="Arial" w:eastAsia="Arial" w:hAnsi="Arial"/>
                <w:sz w:val="19"/>
                <w:szCs w:val="19"/>
                <w:color w:val="auto"/>
              </w:rPr>
              <w:t>Accumulated other comprehensive loss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(7,668)</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(9,987)</w:t>
            </w:r>
          </w:p>
        </w:tc>
        <w:tc>
          <w:tcPr>
            <w:tcW w:w="0" w:type="dxa"/>
            <w:vAlign w:val="bottom"/>
          </w:tcPr>
          <w:p>
            <w:pPr>
              <w:spacing w:after="0"/>
              <w:rPr>
                <w:sz w:val="1"/>
                <w:szCs w:val="1"/>
                <w:color w:val="auto"/>
              </w:rPr>
            </w:pPr>
          </w:p>
        </w:tc>
      </w:tr>
      <w:tr>
        <w:trPr>
          <w:trHeight w:val="1203"/>
        </w:trPr>
        <w:tc>
          <w:tcPr>
            <w:tcW w:w="69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-2077720</wp:posOffset>
            </wp:positionV>
            <wp:extent cx="213995" cy="187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 cy="18796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spacing w:after="0" w:line="4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Accumulated deficit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Total shareholders’ equity</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Total liabilities and shareholders’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Agora,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Comprehensive Income (Loss)</w:t>
      </w:r>
    </w:p>
    <w:p>
      <w:pPr>
        <w:spacing w:after="0"/>
        <w:rPr>
          <w:sz w:val="20"/>
          <w:szCs w:val="20"/>
          <w:color w:val="auto"/>
        </w:rPr>
      </w:pPr>
      <w:r>
        <w:rPr>
          <w:rFonts w:ascii="Arial" w:cs="Arial" w:eastAsia="Arial" w:hAnsi="Arial"/>
          <w:sz w:val="18"/>
          <w:szCs w:val="18"/>
          <w:b w:val="1"/>
          <w:bCs w:val="1"/>
          <w:color w:val="auto"/>
        </w:rPr>
        <w:t>(Unaudited, in US$ thousands, except share and per share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2000" w:type="dxa"/>
            <w:vAlign w:val="bottom"/>
          </w:tcPr>
          <w:p>
            <w:pPr>
              <w:jc w:val="right"/>
              <w:ind w:right="6"/>
              <w:spacing w:after="0"/>
              <w:rPr>
                <w:sz w:val="20"/>
                <w:szCs w:val="20"/>
                <w:color w:val="auto"/>
              </w:rPr>
            </w:pPr>
            <w:r>
              <w:rPr>
                <w:rFonts w:ascii="Arial" w:cs="Arial" w:eastAsia="Arial" w:hAnsi="Arial"/>
                <w:sz w:val="19"/>
                <w:szCs w:val="19"/>
                <w:color w:val="auto"/>
              </w:rPr>
              <w:t>(475,991)</w:t>
            </w:r>
          </w:p>
        </w:tc>
        <w:tc>
          <w:tcPr>
            <w:tcW w:w="2280" w:type="dxa"/>
            <w:vAlign w:val="bottom"/>
            <w:gridSpan w:val="2"/>
          </w:tcPr>
          <w:p>
            <w:pPr>
              <w:jc w:val="right"/>
              <w:ind w:right="6"/>
              <w:spacing w:after="0"/>
              <w:rPr>
                <w:sz w:val="20"/>
                <w:szCs w:val="20"/>
                <w:color w:val="auto"/>
              </w:rPr>
            </w:pPr>
            <w:r>
              <w:rPr>
                <w:rFonts w:ascii="Arial" w:cs="Arial" w:eastAsia="Arial" w:hAnsi="Arial"/>
                <w:sz w:val="19"/>
                <w:szCs w:val="19"/>
                <w:color w:val="auto"/>
              </w:rPr>
              <w:t>(477,100)</w:t>
            </w:r>
          </w:p>
        </w:tc>
      </w:tr>
      <w:tr>
        <w:trPr>
          <w:trHeight w:val="243"/>
        </w:trPr>
        <w:tc>
          <w:tcPr>
            <w:tcW w:w="2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9"/>
                <w:szCs w:val="19"/>
                <w:color w:val="auto"/>
              </w:rPr>
              <w:t>554,572</w:t>
            </w:r>
          </w:p>
        </w:tc>
        <w:tc>
          <w:tcPr>
            <w:tcW w:w="300" w:type="dxa"/>
            <w:vAlign w:val="bottom"/>
          </w:tcPr>
          <w:p>
            <w:pPr>
              <w:spacing w:after="0"/>
              <w:rPr>
                <w:sz w:val="21"/>
                <w:szCs w:val="21"/>
                <w:color w:val="auto"/>
              </w:rPr>
            </w:pPr>
          </w:p>
        </w:tc>
        <w:tc>
          <w:tcPr>
            <w:tcW w:w="1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9"/>
                <w:szCs w:val="19"/>
                <w:color w:val="auto"/>
              </w:rPr>
              <w:t>562,848</w:t>
            </w:r>
          </w:p>
        </w:tc>
      </w:tr>
      <w:tr>
        <w:trPr>
          <w:trHeight w:val="230"/>
        </w:trPr>
        <w:tc>
          <w:tcPr>
            <w:tcW w:w="20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724,182</w:t>
            </w:r>
          </w:p>
        </w:tc>
        <w:tc>
          <w:tcPr>
            <w:tcW w:w="300" w:type="dxa"/>
            <w:vAlign w:val="bottom"/>
          </w:tcPr>
          <w:p>
            <w:pPr>
              <w:spacing w:after="0"/>
              <w:rPr>
                <w:sz w:val="20"/>
                <w:szCs w:val="20"/>
                <w:color w:val="auto"/>
              </w:rPr>
            </w:pPr>
          </w:p>
        </w:tc>
        <w:tc>
          <w:tcPr>
            <w:tcW w:w="19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721,099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Three Month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6985</wp:posOffset>
            </wp:positionV>
            <wp:extent cx="25800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1" w:lineRule="exact"/>
        <w:rPr>
          <w:sz w:val="20"/>
          <w:szCs w:val="20"/>
          <w:color w:val="auto"/>
        </w:rPr>
      </w:pPr>
    </w:p>
    <w:p>
      <w:pPr>
        <w:ind w:left="1020"/>
        <w:spacing w:after="0"/>
        <w:tabs>
          <w:tab w:leader="none" w:pos="3040" w:val="left"/>
        </w:tabs>
        <w:rPr>
          <w:sz w:val="20"/>
          <w:szCs w:val="20"/>
          <w:color w:val="auto"/>
        </w:rPr>
      </w:pPr>
      <w:r>
        <w:rPr>
          <w:rFonts w:ascii="Arial" w:cs="Arial" w:eastAsia="Arial" w:hAnsi="Arial"/>
          <w:sz w:val="19"/>
          <w:szCs w:val="19"/>
          <w:color w:val="auto"/>
        </w:rPr>
        <w:t>2026</w:t>
      </w:r>
      <w:r>
        <w:rPr>
          <w:sz w:val="20"/>
          <w:szCs w:val="20"/>
          <w:color w:val="auto"/>
        </w:rPr>
        <w:tab/>
      </w:r>
      <w:r>
        <w:rPr>
          <w:rFonts w:ascii="Arial" w:cs="Arial" w:eastAsia="Arial" w:hAnsi="Arial"/>
          <w:sz w:val="19"/>
          <w:szCs w:val="19"/>
          <w:color w:val="auto"/>
        </w:rPr>
        <w:t>2025</w:t>
      </w:r>
    </w:p>
    <w:p>
      <w:pPr>
        <w:spacing w:after="0" w:line="5" w:lineRule="exact"/>
        <w:rPr>
          <w:sz w:val="20"/>
          <w:szCs w:val="20"/>
          <w:color w:val="auto"/>
        </w:rPr>
      </w:pPr>
    </w:p>
    <w:p>
      <w:pPr>
        <w:sectPr>
          <w:pgSz w:w="11900" w:h="16838" w:orient="portrait"/>
          <w:cols w:equalWidth="0" w:num="2">
            <w:col w:w="6240" w:space="720"/>
            <w:col w:w="4280"/>
          </w:cols>
          <w:pgMar w:left="320" w:top="1111"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7180" w:type="dxa"/>
            <w:vAlign w:val="bottom"/>
          </w:tcPr>
          <w:p>
            <w:pPr>
              <w:ind w:left="100"/>
              <w:spacing w:after="0"/>
              <w:rPr>
                <w:sz w:val="20"/>
                <w:szCs w:val="20"/>
                <w:color w:val="auto"/>
              </w:rPr>
            </w:pPr>
            <w:r>
              <w:rPr>
                <w:rFonts w:ascii="Arial" w:cs="Arial" w:eastAsia="Arial" w:hAnsi="Arial"/>
                <w:sz w:val="19"/>
                <w:szCs w:val="19"/>
                <w:color w:val="auto"/>
              </w:rPr>
              <w:t>Real-time engagement service revenues</w:t>
            </w:r>
          </w:p>
        </w:tc>
        <w:tc>
          <w:tcPr>
            <w:tcW w:w="2420" w:type="dxa"/>
            <w:vAlign w:val="bottom"/>
            <w:tcBorders>
              <w:top w:val="single" w:sz="8" w:color="auto"/>
            </w:tcBorders>
          </w:tcPr>
          <w:p>
            <w:pPr>
              <w:jc w:val="right"/>
              <w:ind w:right="386"/>
              <w:spacing w:after="0"/>
              <w:rPr>
                <w:sz w:val="20"/>
                <w:szCs w:val="20"/>
                <w:color w:val="auto"/>
              </w:rPr>
            </w:pPr>
            <w:r>
              <w:rPr>
                <w:rFonts w:ascii="Arial" w:cs="Arial" w:eastAsia="Arial" w:hAnsi="Arial"/>
                <w:sz w:val="19"/>
                <w:szCs w:val="19"/>
                <w:color w:val="auto"/>
              </w:rPr>
              <w:t>37,188</w:t>
            </w:r>
          </w:p>
        </w:tc>
        <w:tc>
          <w:tcPr>
            <w:tcW w:w="1640" w:type="dxa"/>
            <w:vAlign w:val="bottom"/>
            <w:tcBorders>
              <w:top w:val="single" w:sz="8" w:color="auto"/>
            </w:tcBorders>
          </w:tcPr>
          <w:p>
            <w:pPr>
              <w:jc w:val="right"/>
              <w:ind w:right="6"/>
              <w:spacing w:after="0"/>
              <w:rPr>
                <w:sz w:val="20"/>
                <w:szCs w:val="20"/>
                <w:color w:val="auto"/>
              </w:rPr>
            </w:pPr>
            <w:r>
              <w:rPr>
                <w:rFonts w:ascii="Arial" w:cs="Arial" w:eastAsia="Arial" w:hAnsi="Arial"/>
                <w:sz w:val="19"/>
                <w:szCs w:val="19"/>
                <w:color w:val="auto"/>
              </w:rPr>
              <w:t>32,673</w:t>
            </w:r>
          </w:p>
        </w:tc>
        <w:tc>
          <w:tcPr>
            <w:tcW w:w="0" w:type="dxa"/>
            <w:vAlign w:val="bottom"/>
          </w:tcPr>
          <w:p>
            <w:pPr>
              <w:spacing w:after="0"/>
              <w:rPr>
                <w:sz w:val="1"/>
                <w:szCs w:val="1"/>
                <w:color w:val="auto"/>
              </w:rPr>
            </w:pPr>
          </w:p>
        </w:tc>
      </w:tr>
      <w:tr>
        <w:trPr>
          <w:trHeight w:val="230"/>
        </w:trPr>
        <w:tc>
          <w:tcPr>
            <w:tcW w:w="7180" w:type="dxa"/>
            <w:vAlign w:val="bottom"/>
          </w:tcPr>
          <w:p>
            <w:pPr>
              <w:ind w:left="100"/>
              <w:spacing w:after="0"/>
              <w:rPr>
                <w:sz w:val="20"/>
                <w:szCs w:val="20"/>
                <w:color w:val="auto"/>
              </w:rPr>
            </w:pPr>
            <w:r>
              <w:rPr>
                <w:rFonts w:ascii="Arial" w:cs="Arial" w:eastAsia="Arial" w:hAnsi="Arial"/>
                <w:sz w:val="19"/>
                <w:szCs w:val="19"/>
                <w:color w:val="auto"/>
              </w:rPr>
              <w:t>Real-time engagement on-premise solution and other revenues</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557</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596</w:t>
            </w:r>
          </w:p>
        </w:tc>
        <w:tc>
          <w:tcPr>
            <w:tcW w:w="0" w:type="dxa"/>
            <w:vAlign w:val="bottom"/>
          </w:tcPr>
          <w:p>
            <w:pPr>
              <w:spacing w:after="0"/>
              <w:rPr>
                <w:sz w:val="1"/>
                <w:szCs w:val="1"/>
                <w:color w:val="auto"/>
              </w:rPr>
            </w:pPr>
          </w:p>
        </w:tc>
      </w:tr>
      <w:tr>
        <w:trPr>
          <w:trHeight w:val="209"/>
        </w:trPr>
        <w:tc>
          <w:tcPr>
            <w:tcW w:w="7180" w:type="dxa"/>
            <w:vAlign w:val="bottom"/>
          </w:tcPr>
          <w:p>
            <w:pPr>
              <w:ind w:left="100"/>
              <w:spacing w:after="0" w:line="210" w:lineRule="exact"/>
              <w:rPr>
                <w:sz w:val="20"/>
                <w:szCs w:val="20"/>
                <w:color w:val="auto"/>
              </w:rPr>
            </w:pPr>
            <w:r>
              <w:rPr>
                <w:rFonts w:ascii="Arial" w:cs="Arial" w:eastAsia="Arial" w:hAnsi="Arial"/>
                <w:sz w:val="19"/>
                <w:szCs w:val="19"/>
                <w:color w:val="auto"/>
              </w:rPr>
              <w:t>Total revenues</w:t>
            </w:r>
          </w:p>
        </w:tc>
        <w:tc>
          <w:tcPr>
            <w:tcW w:w="2420" w:type="dxa"/>
            <w:vAlign w:val="bottom"/>
          </w:tcPr>
          <w:p>
            <w:pPr>
              <w:jc w:val="right"/>
              <w:ind w:right="386"/>
              <w:spacing w:after="0" w:line="210" w:lineRule="exact"/>
              <w:rPr>
                <w:sz w:val="20"/>
                <w:szCs w:val="20"/>
                <w:color w:val="auto"/>
              </w:rPr>
            </w:pPr>
            <w:r>
              <w:rPr>
                <w:rFonts w:ascii="Arial" w:cs="Arial" w:eastAsia="Arial" w:hAnsi="Arial"/>
                <w:sz w:val="19"/>
                <w:szCs w:val="19"/>
                <w:color w:val="auto"/>
              </w:rPr>
              <w:t>37,745</w:t>
            </w:r>
          </w:p>
        </w:tc>
        <w:tc>
          <w:tcPr>
            <w:tcW w:w="1640" w:type="dxa"/>
            <w:vAlign w:val="bottom"/>
          </w:tcPr>
          <w:p>
            <w:pPr>
              <w:jc w:val="right"/>
              <w:ind w:right="6"/>
              <w:spacing w:after="0" w:line="210" w:lineRule="exact"/>
              <w:rPr>
                <w:sz w:val="20"/>
                <w:szCs w:val="20"/>
                <w:color w:val="auto"/>
              </w:rPr>
            </w:pPr>
            <w:r>
              <w:rPr>
                <w:rFonts w:ascii="Arial" w:cs="Arial" w:eastAsia="Arial" w:hAnsi="Arial"/>
                <w:sz w:val="19"/>
                <w:szCs w:val="19"/>
                <w:color w:val="auto"/>
              </w:rPr>
              <w:t>33,269</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rPr>
                <w:sz w:val="20"/>
                <w:szCs w:val="20"/>
                <w:color w:val="auto"/>
              </w:rPr>
            </w:pPr>
            <w:r>
              <w:rPr>
                <w:rFonts w:ascii="Arial" w:cs="Arial" w:eastAsia="Arial" w:hAnsi="Arial"/>
                <w:sz w:val="19"/>
                <w:szCs w:val="19"/>
                <w:color w:val="auto"/>
              </w:rPr>
              <w:t>Cost of revenues</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13,816</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10,635</w:t>
            </w:r>
          </w:p>
        </w:tc>
        <w:tc>
          <w:tcPr>
            <w:tcW w:w="0" w:type="dxa"/>
            <w:vAlign w:val="bottom"/>
          </w:tcPr>
          <w:p>
            <w:pPr>
              <w:spacing w:after="0"/>
              <w:rPr>
                <w:sz w:val="1"/>
                <w:szCs w:val="1"/>
                <w:color w:val="auto"/>
              </w:rPr>
            </w:pPr>
          </w:p>
        </w:tc>
      </w:tr>
      <w:tr>
        <w:trPr>
          <w:trHeight w:val="210"/>
        </w:trPr>
        <w:tc>
          <w:tcPr>
            <w:tcW w:w="7180" w:type="dxa"/>
            <w:vAlign w:val="bottom"/>
          </w:tcPr>
          <w:p>
            <w:pPr>
              <w:ind w:left="100"/>
              <w:spacing w:after="0" w:line="210" w:lineRule="exact"/>
              <w:rPr>
                <w:sz w:val="20"/>
                <w:szCs w:val="20"/>
                <w:color w:val="auto"/>
              </w:rPr>
            </w:pPr>
            <w:r>
              <w:rPr>
                <w:rFonts w:ascii="Arial" w:cs="Arial" w:eastAsia="Arial" w:hAnsi="Arial"/>
                <w:sz w:val="19"/>
                <w:szCs w:val="19"/>
                <w:color w:val="auto"/>
              </w:rPr>
              <w:t>Gross profit</w:t>
            </w:r>
          </w:p>
        </w:tc>
        <w:tc>
          <w:tcPr>
            <w:tcW w:w="2420" w:type="dxa"/>
            <w:vAlign w:val="bottom"/>
            <w:tcBorders>
              <w:bottom w:val="single" w:sz="8" w:color="auto"/>
            </w:tcBorders>
          </w:tcPr>
          <w:p>
            <w:pPr>
              <w:jc w:val="right"/>
              <w:ind w:right="386"/>
              <w:spacing w:after="0" w:line="210" w:lineRule="exact"/>
              <w:rPr>
                <w:sz w:val="20"/>
                <w:szCs w:val="20"/>
                <w:color w:val="auto"/>
              </w:rPr>
            </w:pPr>
            <w:r>
              <w:rPr>
                <w:rFonts w:ascii="Arial" w:cs="Arial" w:eastAsia="Arial" w:hAnsi="Arial"/>
                <w:sz w:val="19"/>
                <w:szCs w:val="19"/>
                <w:color w:val="auto"/>
              </w:rPr>
              <w:t>23,929</w:t>
            </w:r>
          </w:p>
        </w:tc>
        <w:tc>
          <w:tcPr>
            <w:tcW w:w="1640" w:type="dxa"/>
            <w:vAlign w:val="bottom"/>
            <w:tcBorders>
              <w:bottom w:val="single" w:sz="8" w:color="auto"/>
            </w:tcBorders>
          </w:tcPr>
          <w:p>
            <w:pPr>
              <w:jc w:val="right"/>
              <w:ind w:right="6"/>
              <w:spacing w:after="0" w:line="210" w:lineRule="exact"/>
              <w:rPr>
                <w:sz w:val="20"/>
                <w:szCs w:val="20"/>
                <w:color w:val="auto"/>
              </w:rPr>
            </w:pPr>
            <w:r>
              <w:rPr>
                <w:rFonts w:ascii="Arial" w:cs="Arial" w:eastAsia="Arial" w:hAnsi="Arial"/>
                <w:sz w:val="19"/>
                <w:szCs w:val="19"/>
                <w:color w:val="auto"/>
              </w:rPr>
              <w:t>22,634</w:t>
            </w:r>
          </w:p>
        </w:tc>
        <w:tc>
          <w:tcPr>
            <w:tcW w:w="0" w:type="dxa"/>
            <w:vAlign w:val="bottom"/>
          </w:tcPr>
          <w:p>
            <w:pPr>
              <w:spacing w:after="0"/>
              <w:rPr>
                <w:sz w:val="1"/>
                <w:szCs w:val="1"/>
                <w:color w:val="auto"/>
              </w:rPr>
            </w:pPr>
          </w:p>
        </w:tc>
      </w:tr>
      <w:tr>
        <w:trPr>
          <w:trHeight w:val="250"/>
        </w:trPr>
        <w:tc>
          <w:tcPr>
            <w:tcW w:w="7180" w:type="dxa"/>
            <w:vAlign w:val="bottom"/>
          </w:tcPr>
          <w:p>
            <w:pPr>
              <w:ind w:left="100"/>
              <w:spacing w:after="0"/>
              <w:rPr>
                <w:sz w:val="20"/>
                <w:szCs w:val="20"/>
                <w:color w:val="auto"/>
              </w:rPr>
            </w:pPr>
            <w:r>
              <w:rPr>
                <w:rFonts w:ascii="Arial" w:cs="Arial" w:eastAsia="Arial" w:hAnsi="Arial"/>
                <w:sz w:val="19"/>
                <w:szCs w:val="19"/>
                <w:color w:val="auto"/>
              </w:rPr>
              <w:t>Operating expenses:</w:t>
            </w:r>
          </w:p>
        </w:tc>
        <w:tc>
          <w:tcPr>
            <w:tcW w:w="2420" w:type="dxa"/>
            <w:vAlign w:val="bottom"/>
            <w:vMerge w:val="restart"/>
          </w:tcPr>
          <w:p>
            <w:pPr>
              <w:jc w:val="right"/>
              <w:ind w:right="386"/>
              <w:spacing w:after="0"/>
              <w:rPr>
                <w:sz w:val="20"/>
                <w:szCs w:val="20"/>
                <w:color w:val="auto"/>
              </w:rPr>
            </w:pPr>
            <w:r>
              <w:rPr>
                <w:rFonts w:ascii="Arial" w:cs="Arial" w:eastAsia="Arial" w:hAnsi="Arial"/>
                <w:sz w:val="19"/>
                <w:szCs w:val="19"/>
                <w:color w:val="auto"/>
              </w:rPr>
              <w:t>14,421</w:t>
            </w:r>
          </w:p>
        </w:tc>
        <w:tc>
          <w:tcPr>
            <w:tcW w:w="1640" w:type="dxa"/>
            <w:vAlign w:val="bottom"/>
            <w:vMerge w:val="restart"/>
          </w:tcPr>
          <w:p>
            <w:pPr>
              <w:jc w:val="right"/>
              <w:ind w:right="6"/>
              <w:spacing w:after="0"/>
              <w:rPr>
                <w:sz w:val="20"/>
                <w:szCs w:val="20"/>
                <w:color w:val="auto"/>
              </w:rPr>
            </w:pPr>
            <w:r>
              <w:rPr>
                <w:rFonts w:ascii="Arial" w:cs="Arial" w:eastAsia="Arial" w:hAnsi="Arial"/>
                <w:sz w:val="19"/>
                <w:szCs w:val="19"/>
                <w:color w:val="auto"/>
              </w:rPr>
              <w:t>14,018</w:t>
            </w: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line="216" w:lineRule="exact"/>
              <w:rPr>
                <w:sz w:val="20"/>
                <w:szCs w:val="20"/>
                <w:color w:val="auto"/>
              </w:rPr>
            </w:pPr>
            <w:r>
              <w:rPr>
                <w:rFonts w:ascii="Arial" w:cs="Arial" w:eastAsia="Arial" w:hAnsi="Arial"/>
                <w:sz w:val="19"/>
                <w:szCs w:val="19"/>
                <w:color w:val="auto"/>
              </w:rPr>
              <w:t>Research and development</w:t>
            </w:r>
          </w:p>
        </w:tc>
        <w:tc>
          <w:tcPr>
            <w:tcW w:w="242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9"/>
                <w:szCs w:val="19"/>
                <w:color w:val="auto"/>
              </w:rPr>
              <w:t>Sales and marketing</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5,937</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6,235</w:t>
            </w:r>
          </w:p>
        </w:tc>
        <w:tc>
          <w:tcPr>
            <w:tcW w:w="0" w:type="dxa"/>
            <w:vAlign w:val="bottom"/>
          </w:tcPr>
          <w:p>
            <w:pPr>
              <w:spacing w:after="0"/>
              <w:rPr>
                <w:sz w:val="1"/>
                <w:szCs w:val="1"/>
                <w:color w:val="auto"/>
              </w:rPr>
            </w:pPr>
          </w:p>
        </w:tc>
      </w:tr>
      <w:tr>
        <w:trPr>
          <w:trHeight w:val="257"/>
        </w:trPr>
        <w:tc>
          <w:tcPr>
            <w:tcW w:w="7180" w:type="dxa"/>
            <w:vAlign w:val="bottom"/>
          </w:tcPr>
          <w:p>
            <w:pPr>
              <w:ind w:left="220"/>
              <w:spacing w:after="0"/>
              <w:rPr>
                <w:sz w:val="20"/>
                <w:szCs w:val="20"/>
                <w:color w:val="auto"/>
              </w:rPr>
            </w:pPr>
            <w:r>
              <w:rPr>
                <w:rFonts w:ascii="Arial" w:cs="Arial" w:eastAsia="Arial" w:hAnsi="Arial"/>
                <w:sz w:val="19"/>
                <w:szCs w:val="19"/>
                <w:color w:val="auto"/>
              </w:rPr>
              <w:t>General and administrative</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6,023</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6,238</w:t>
            </w:r>
          </w:p>
        </w:tc>
        <w:tc>
          <w:tcPr>
            <w:tcW w:w="0" w:type="dxa"/>
            <w:vAlign w:val="bottom"/>
          </w:tcPr>
          <w:p>
            <w:pPr>
              <w:spacing w:after="0"/>
              <w:rPr>
                <w:sz w:val="1"/>
                <w:szCs w:val="1"/>
                <w:color w:val="auto"/>
              </w:rPr>
            </w:pPr>
          </w:p>
        </w:tc>
      </w:tr>
      <w:tr>
        <w:trPr>
          <w:trHeight w:val="209"/>
        </w:trPr>
        <w:tc>
          <w:tcPr>
            <w:tcW w:w="7180" w:type="dxa"/>
            <w:vAlign w:val="bottom"/>
          </w:tcPr>
          <w:p>
            <w:pPr>
              <w:ind w:left="100"/>
              <w:spacing w:after="0" w:line="210" w:lineRule="exact"/>
              <w:rPr>
                <w:sz w:val="20"/>
                <w:szCs w:val="20"/>
                <w:color w:val="auto"/>
              </w:rPr>
            </w:pPr>
            <w:r>
              <w:rPr>
                <w:rFonts w:ascii="Arial" w:cs="Arial" w:eastAsia="Arial" w:hAnsi="Arial"/>
                <w:sz w:val="19"/>
                <w:szCs w:val="19"/>
                <w:color w:val="auto"/>
              </w:rPr>
              <w:t>Total operating expenses</w:t>
            </w:r>
          </w:p>
        </w:tc>
        <w:tc>
          <w:tcPr>
            <w:tcW w:w="2420" w:type="dxa"/>
            <w:vAlign w:val="bottom"/>
          </w:tcPr>
          <w:p>
            <w:pPr>
              <w:jc w:val="right"/>
              <w:ind w:right="386"/>
              <w:spacing w:after="0" w:line="210" w:lineRule="exact"/>
              <w:rPr>
                <w:sz w:val="20"/>
                <w:szCs w:val="20"/>
                <w:color w:val="auto"/>
              </w:rPr>
            </w:pPr>
            <w:r>
              <w:rPr>
                <w:rFonts w:ascii="Arial" w:cs="Arial" w:eastAsia="Arial" w:hAnsi="Arial"/>
                <w:sz w:val="19"/>
                <w:szCs w:val="19"/>
                <w:color w:val="auto"/>
              </w:rPr>
              <w:t>26,381</w:t>
            </w:r>
          </w:p>
        </w:tc>
        <w:tc>
          <w:tcPr>
            <w:tcW w:w="1640" w:type="dxa"/>
            <w:vAlign w:val="bottom"/>
          </w:tcPr>
          <w:p>
            <w:pPr>
              <w:jc w:val="right"/>
              <w:ind w:right="6"/>
              <w:spacing w:after="0" w:line="210" w:lineRule="exact"/>
              <w:rPr>
                <w:sz w:val="20"/>
                <w:szCs w:val="20"/>
                <w:color w:val="auto"/>
              </w:rPr>
            </w:pPr>
            <w:r>
              <w:rPr>
                <w:rFonts w:ascii="Arial" w:cs="Arial" w:eastAsia="Arial" w:hAnsi="Arial"/>
                <w:sz w:val="19"/>
                <w:szCs w:val="19"/>
                <w:color w:val="auto"/>
              </w:rPr>
              <w:t>26,491</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rPr>
                <w:sz w:val="20"/>
                <w:szCs w:val="20"/>
                <w:color w:val="auto"/>
              </w:rPr>
            </w:pPr>
            <w:r>
              <w:rPr>
                <w:rFonts w:ascii="Arial" w:cs="Arial" w:eastAsia="Arial" w:hAnsi="Arial"/>
                <w:sz w:val="19"/>
                <w:szCs w:val="19"/>
                <w:color w:val="auto"/>
              </w:rPr>
              <w:t>Other operating income</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805</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154</w:t>
            </w:r>
          </w:p>
        </w:tc>
        <w:tc>
          <w:tcPr>
            <w:tcW w:w="0" w:type="dxa"/>
            <w:vAlign w:val="bottom"/>
          </w:tcPr>
          <w:p>
            <w:pPr>
              <w:spacing w:after="0"/>
              <w:rPr>
                <w:sz w:val="1"/>
                <w:szCs w:val="1"/>
                <w:color w:val="auto"/>
              </w:rPr>
            </w:pPr>
          </w:p>
        </w:tc>
      </w:tr>
      <w:tr>
        <w:trPr>
          <w:trHeight w:val="209"/>
        </w:trPr>
        <w:tc>
          <w:tcPr>
            <w:tcW w:w="7180" w:type="dxa"/>
            <w:vAlign w:val="bottom"/>
          </w:tcPr>
          <w:p>
            <w:pPr>
              <w:ind w:left="100"/>
              <w:spacing w:after="0" w:line="210" w:lineRule="exact"/>
              <w:rPr>
                <w:sz w:val="20"/>
                <w:szCs w:val="20"/>
                <w:color w:val="auto"/>
              </w:rPr>
            </w:pPr>
            <w:r>
              <w:rPr>
                <w:rFonts w:ascii="Arial" w:cs="Arial" w:eastAsia="Arial" w:hAnsi="Arial"/>
                <w:sz w:val="19"/>
                <w:szCs w:val="19"/>
                <w:color w:val="auto"/>
              </w:rPr>
              <w:t>Loss from operations</w:t>
            </w:r>
          </w:p>
        </w:tc>
        <w:tc>
          <w:tcPr>
            <w:tcW w:w="2420" w:type="dxa"/>
            <w:vAlign w:val="bottom"/>
          </w:tcPr>
          <w:p>
            <w:pPr>
              <w:jc w:val="right"/>
              <w:ind w:right="386"/>
              <w:spacing w:after="0" w:line="210" w:lineRule="exact"/>
              <w:rPr>
                <w:sz w:val="20"/>
                <w:szCs w:val="20"/>
                <w:color w:val="auto"/>
              </w:rPr>
            </w:pPr>
            <w:r>
              <w:rPr>
                <w:rFonts w:ascii="Arial" w:cs="Arial" w:eastAsia="Arial" w:hAnsi="Arial"/>
                <w:sz w:val="19"/>
                <w:szCs w:val="19"/>
                <w:color w:val="auto"/>
              </w:rPr>
              <w:t>(1,647)</w:t>
            </w:r>
          </w:p>
        </w:tc>
        <w:tc>
          <w:tcPr>
            <w:tcW w:w="1640" w:type="dxa"/>
            <w:vAlign w:val="bottom"/>
          </w:tcPr>
          <w:p>
            <w:pPr>
              <w:jc w:val="right"/>
              <w:ind w:right="6"/>
              <w:spacing w:after="0" w:line="210" w:lineRule="exact"/>
              <w:rPr>
                <w:sz w:val="20"/>
                <w:szCs w:val="20"/>
                <w:color w:val="auto"/>
              </w:rPr>
            </w:pPr>
            <w:r>
              <w:rPr>
                <w:rFonts w:ascii="Arial" w:cs="Arial" w:eastAsia="Arial" w:hAnsi="Arial"/>
                <w:sz w:val="19"/>
                <w:szCs w:val="19"/>
                <w:color w:val="auto"/>
              </w:rPr>
              <w:t>(3,703)</w:t>
            </w:r>
          </w:p>
        </w:tc>
        <w:tc>
          <w:tcPr>
            <w:tcW w:w="0" w:type="dxa"/>
            <w:vAlign w:val="bottom"/>
          </w:tcPr>
          <w:p>
            <w:pPr>
              <w:spacing w:after="0"/>
              <w:rPr>
                <w:sz w:val="1"/>
                <w:szCs w:val="1"/>
                <w:color w:val="auto"/>
              </w:rPr>
            </w:pPr>
          </w:p>
        </w:tc>
      </w:tr>
      <w:tr>
        <w:trPr>
          <w:trHeight w:val="243"/>
        </w:trPr>
        <w:tc>
          <w:tcPr>
            <w:tcW w:w="7180" w:type="dxa"/>
            <w:vAlign w:val="bottom"/>
          </w:tcPr>
          <w:p>
            <w:pPr>
              <w:ind w:left="100"/>
              <w:spacing w:after="0"/>
              <w:rPr>
                <w:sz w:val="20"/>
                <w:szCs w:val="20"/>
                <w:color w:val="auto"/>
              </w:rPr>
            </w:pPr>
            <w:r>
              <w:rPr>
                <w:rFonts w:ascii="Arial" w:cs="Arial" w:eastAsia="Arial" w:hAnsi="Arial"/>
                <w:sz w:val="19"/>
                <w:szCs w:val="19"/>
                <w:color w:val="auto"/>
              </w:rPr>
              <w:t>Exchange gain</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255</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71</w:t>
            </w:r>
          </w:p>
        </w:tc>
        <w:tc>
          <w:tcPr>
            <w:tcW w:w="0" w:type="dxa"/>
            <w:vAlign w:val="bottom"/>
          </w:tcPr>
          <w:p>
            <w:pPr>
              <w:spacing w:after="0"/>
              <w:rPr>
                <w:sz w:val="1"/>
                <w:szCs w:val="1"/>
                <w:color w:val="auto"/>
              </w:rPr>
            </w:pPr>
          </w:p>
        </w:tc>
      </w:tr>
      <w:tr>
        <w:trPr>
          <w:trHeight w:val="243"/>
        </w:trPr>
        <w:tc>
          <w:tcPr>
            <w:tcW w:w="7180" w:type="dxa"/>
            <w:vAlign w:val="bottom"/>
          </w:tcPr>
          <w:p>
            <w:pPr>
              <w:ind w:left="100"/>
              <w:spacing w:after="0"/>
              <w:rPr>
                <w:sz w:val="20"/>
                <w:szCs w:val="20"/>
                <w:color w:val="auto"/>
              </w:rPr>
            </w:pPr>
            <w:r>
              <w:rPr>
                <w:rFonts w:ascii="Arial" w:cs="Arial" w:eastAsia="Arial" w:hAnsi="Arial"/>
                <w:sz w:val="19"/>
                <w:szCs w:val="19"/>
                <w:color w:val="auto"/>
              </w:rPr>
              <w:t>Interest income</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3,440</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3,635</w:t>
            </w:r>
          </w:p>
        </w:tc>
        <w:tc>
          <w:tcPr>
            <w:tcW w:w="0" w:type="dxa"/>
            <w:vAlign w:val="bottom"/>
          </w:tcPr>
          <w:p>
            <w:pPr>
              <w:spacing w:after="0"/>
              <w:rPr>
                <w:sz w:val="1"/>
                <w:szCs w:val="1"/>
                <w:color w:val="auto"/>
              </w:rPr>
            </w:pPr>
          </w:p>
        </w:tc>
      </w:tr>
      <w:tr>
        <w:trPr>
          <w:trHeight w:val="243"/>
        </w:trPr>
        <w:tc>
          <w:tcPr>
            <w:tcW w:w="7180" w:type="dxa"/>
            <w:vAlign w:val="bottom"/>
          </w:tcPr>
          <w:p>
            <w:pPr>
              <w:ind w:left="100"/>
              <w:spacing w:after="0"/>
              <w:rPr>
                <w:sz w:val="20"/>
                <w:szCs w:val="20"/>
                <w:color w:val="auto"/>
              </w:rPr>
            </w:pPr>
            <w:r>
              <w:rPr>
                <w:rFonts w:ascii="Arial" w:cs="Arial" w:eastAsia="Arial" w:hAnsi="Arial"/>
                <w:sz w:val="19"/>
                <w:szCs w:val="19"/>
                <w:color w:val="auto"/>
              </w:rPr>
              <w:t>Interest expense</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(15)</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rPr>
                <w:sz w:val="20"/>
                <w:szCs w:val="20"/>
                <w:color w:val="auto"/>
              </w:rPr>
            </w:pPr>
            <w:r>
              <w:rPr>
                <w:rFonts w:ascii="Arial" w:cs="Arial" w:eastAsia="Arial" w:hAnsi="Arial"/>
                <w:sz w:val="19"/>
                <w:szCs w:val="19"/>
                <w:color w:val="auto"/>
              </w:rPr>
              <w:t>Investment (loss) income</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(851)</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689</w:t>
            </w:r>
          </w:p>
        </w:tc>
        <w:tc>
          <w:tcPr>
            <w:tcW w:w="0" w:type="dxa"/>
            <w:vAlign w:val="bottom"/>
          </w:tcPr>
          <w:p>
            <w:pPr>
              <w:spacing w:after="0"/>
              <w:rPr>
                <w:sz w:val="1"/>
                <w:szCs w:val="1"/>
                <w:color w:val="auto"/>
              </w:rPr>
            </w:pPr>
          </w:p>
        </w:tc>
      </w:tr>
      <w:tr>
        <w:trPr>
          <w:trHeight w:val="209"/>
        </w:trPr>
        <w:tc>
          <w:tcPr>
            <w:tcW w:w="7180" w:type="dxa"/>
            <w:vAlign w:val="bottom"/>
          </w:tcPr>
          <w:p>
            <w:pPr>
              <w:ind w:left="100"/>
              <w:spacing w:after="0" w:line="210" w:lineRule="exact"/>
              <w:rPr>
                <w:sz w:val="20"/>
                <w:szCs w:val="20"/>
                <w:color w:val="auto"/>
              </w:rPr>
            </w:pPr>
            <w:r>
              <w:rPr>
                <w:rFonts w:ascii="Arial" w:cs="Arial" w:eastAsia="Arial" w:hAnsi="Arial"/>
                <w:sz w:val="19"/>
                <w:szCs w:val="19"/>
                <w:color w:val="auto"/>
              </w:rPr>
              <w:t>Income before income taxes</w:t>
            </w:r>
          </w:p>
        </w:tc>
        <w:tc>
          <w:tcPr>
            <w:tcW w:w="2420" w:type="dxa"/>
            <w:vAlign w:val="bottom"/>
          </w:tcPr>
          <w:p>
            <w:pPr>
              <w:jc w:val="right"/>
              <w:ind w:right="386"/>
              <w:spacing w:after="0" w:line="210" w:lineRule="exact"/>
              <w:rPr>
                <w:sz w:val="20"/>
                <w:szCs w:val="20"/>
                <w:color w:val="auto"/>
              </w:rPr>
            </w:pPr>
            <w:r>
              <w:rPr>
                <w:rFonts w:ascii="Arial" w:cs="Arial" w:eastAsia="Arial" w:hAnsi="Arial"/>
                <w:sz w:val="19"/>
                <w:szCs w:val="19"/>
                <w:color w:val="auto"/>
              </w:rPr>
              <w:t>1,182</w:t>
            </w:r>
          </w:p>
        </w:tc>
        <w:tc>
          <w:tcPr>
            <w:tcW w:w="1640" w:type="dxa"/>
            <w:vAlign w:val="bottom"/>
          </w:tcPr>
          <w:p>
            <w:pPr>
              <w:jc w:val="right"/>
              <w:ind w:right="6"/>
              <w:spacing w:after="0" w:line="210" w:lineRule="exact"/>
              <w:rPr>
                <w:sz w:val="20"/>
                <w:szCs w:val="20"/>
                <w:color w:val="auto"/>
              </w:rPr>
            </w:pPr>
            <w:r>
              <w:rPr>
                <w:rFonts w:ascii="Arial" w:cs="Arial" w:eastAsia="Arial" w:hAnsi="Arial"/>
                <w:sz w:val="19"/>
                <w:szCs w:val="19"/>
                <w:color w:val="auto"/>
              </w:rPr>
              <w:t>687</w:t>
            </w:r>
          </w:p>
        </w:tc>
        <w:tc>
          <w:tcPr>
            <w:tcW w:w="0" w:type="dxa"/>
            <w:vAlign w:val="bottom"/>
          </w:tcPr>
          <w:p>
            <w:pPr>
              <w:spacing w:after="0"/>
              <w:rPr>
                <w:sz w:val="1"/>
                <w:szCs w:val="1"/>
                <w:color w:val="auto"/>
              </w:rPr>
            </w:pPr>
          </w:p>
        </w:tc>
      </w:tr>
      <w:tr>
        <w:trPr>
          <w:trHeight w:val="243"/>
        </w:trPr>
        <w:tc>
          <w:tcPr>
            <w:tcW w:w="7180" w:type="dxa"/>
            <w:vAlign w:val="bottom"/>
          </w:tcPr>
          <w:p>
            <w:pPr>
              <w:ind w:left="100"/>
              <w:spacing w:after="0"/>
              <w:rPr>
                <w:sz w:val="20"/>
                <w:szCs w:val="20"/>
                <w:color w:val="auto"/>
              </w:rPr>
            </w:pPr>
            <w:r>
              <w:rPr>
                <w:rFonts w:ascii="Arial" w:cs="Arial" w:eastAsia="Arial" w:hAnsi="Arial"/>
                <w:sz w:val="19"/>
                <w:szCs w:val="19"/>
                <w:color w:val="auto"/>
              </w:rPr>
              <w:t>Income taxes</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(129)</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57"/>
        </w:trPr>
        <w:tc>
          <w:tcPr>
            <w:tcW w:w="7180" w:type="dxa"/>
            <w:vAlign w:val="bottom"/>
          </w:tcPr>
          <w:p>
            <w:pPr>
              <w:ind w:left="100"/>
              <w:spacing w:after="0"/>
              <w:rPr>
                <w:sz w:val="20"/>
                <w:szCs w:val="20"/>
                <w:color w:val="auto"/>
              </w:rPr>
            </w:pPr>
            <w:r>
              <w:rPr>
                <w:rFonts w:ascii="Arial" w:cs="Arial" w:eastAsia="Arial" w:hAnsi="Arial"/>
                <w:sz w:val="19"/>
                <w:szCs w:val="19"/>
                <w:color w:val="auto"/>
              </w:rPr>
              <w:t>Income (loss) from equity in affiliates</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56</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(238)</w:t>
            </w:r>
          </w:p>
        </w:tc>
        <w:tc>
          <w:tcPr>
            <w:tcW w:w="0" w:type="dxa"/>
            <w:vAlign w:val="bottom"/>
          </w:tcPr>
          <w:p>
            <w:pPr>
              <w:spacing w:after="0"/>
              <w:rPr>
                <w:sz w:val="1"/>
                <w:szCs w:val="1"/>
                <w:color w:val="auto"/>
              </w:rPr>
            </w:pPr>
          </w:p>
        </w:tc>
      </w:tr>
      <w:tr>
        <w:trPr>
          <w:trHeight w:val="223"/>
        </w:trPr>
        <w:tc>
          <w:tcPr>
            <w:tcW w:w="7180" w:type="dxa"/>
            <w:vAlign w:val="bottom"/>
          </w:tcPr>
          <w:p>
            <w:pPr>
              <w:ind w:left="100"/>
              <w:spacing w:after="0"/>
              <w:rPr>
                <w:sz w:val="20"/>
                <w:szCs w:val="20"/>
                <w:color w:val="auto"/>
              </w:rPr>
            </w:pPr>
            <w:r>
              <w:rPr>
                <w:rFonts w:ascii="Arial" w:cs="Arial" w:eastAsia="Arial" w:hAnsi="Arial"/>
                <w:sz w:val="19"/>
                <w:szCs w:val="19"/>
                <w:color w:val="auto"/>
              </w:rPr>
              <w:t>Net income</w:t>
            </w:r>
          </w:p>
        </w:tc>
        <w:tc>
          <w:tcPr>
            <w:tcW w:w="24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1,109</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407</w:t>
            </w:r>
          </w:p>
        </w:tc>
        <w:tc>
          <w:tcPr>
            <w:tcW w:w="0" w:type="dxa"/>
            <w:vAlign w:val="bottom"/>
          </w:tcPr>
          <w:p>
            <w:pPr>
              <w:spacing w:after="0"/>
              <w:rPr>
                <w:sz w:val="1"/>
                <w:szCs w:val="1"/>
                <w:color w:val="auto"/>
              </w:rPr>
            </w:pPr>
          </w:p>
        </w:tc>
      </w:tr>
      <w:tr>
        <w:trPr>
          <w:trHeight w:val="210"/>
        </w:trPr>
        <w:tc>
          <w:tcPr>
            <w:tcW w:w="7180" w:type="dxa"/>
            <w:vAlign w:val="bottom"/>
          </w:tcPr>
          <w:p>
            <w:pPr>
              <w:ind w:left="100"/>
              <w:spacing w:after="0" w:line="196" w:lineRule="exact"/>
              <w:rPr>
                <w:sz w:val="20"/>
                <w:szCs w:val="20"/>
                <w:color w:val="auto"/>
              </w:rPr>
            </w:pPr>
            <w:r>
              <w:rPr>
                <w:rFonts w:ascii="Arial" w:cs="Arial" w:eastAsia="Arial" w:hAnsi="Arial"/>
                <w:sz w:val="19"/>
                <w:szCs w:val="19"/>
                <w:color w:val="auto"/>
              </w:rPr>
              <w:t>Net income attributable to ordinary shareholders</w:t>
            </w:r>
          </w:p>
        </w:tc>
        <w:tc>
          <w:tcPr>
            <w:tcW w:w="2420" w:type="dxa"/>
            <w:vAlign w:val="bottom"/>
            <w:tcBorders>
              <w:bottom w:val="single" w:sz="8" w:color="auto"/>
            </w:tcBorders>
          </w:tcPr>
          <w:p>
            <w:pPr>
              <w:jc w:val="right"/>
              <w:ind w:right="386"/>
              <w:spacing w:after="0" w:line="196" w:lineRule="exact"/>
              <w:rPr>
                <w:sz w:val="20"/>
                <w:szCs w:val="20"/>
                <w:color w:val="auto"/>
              </w:rPr>
            </w:pPr>
            <w:r>
              <w:rPr>
                <w:rFonts w:ascii="Arial" w:cs="Arial" w:eastAsia="Arial" w:hAnsi="Arial"/>
                <w:sz w:val="19"/>
                <w:szCs w:val="19"/>
                <w:color w:val="auto"/>
              </w:rPr>
              <w:t>1,109</w:t>
            </w:r>
          </w:p>
        </w:tc>
        <w:tc>
          <w:tcPr>
            <w:tcW w:w="1640" w:type="dxa"/>
            <w:vAlign w:val="bottom"/>
            <w:tcBorders>
              <w:bottom w:val="single" w:sz="8" w:color="auto"/>
            </w:tcBorders>
          </w:tcPr>
          <w:p>
            <w:pPr>
              <w:jc w:val="right"/>
              <w:ind w:right="6"/>
              <w:spacing w:after="0" w:line="196" w:lineRule="exact"/>
              <w:rPr>
                <w:sz w:val="20"/>
                <w:szCs w:val="20"/>
                <w:color w:val="auto"/>
              </w:rPr>
            </w:pPr>
            <w:r>
              <w:rPr>
                <w:rFonts w:ascii="Arial" w:cs="Arial" w:eastAsia="Arial" w:hAnsi="Arial"/>
                <w:sz w:val="19"/>
                <w:szCs w:val="19"/>
                <w:color w:val="auto"/>
              </w:rPr>
              <w:t>407</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00"/>
              <w:spacing w:after="0"/>
              <w:rPr>
                <w:sz w:val="20"/>
                <w:szCs w:val="20"/>
                <w:color w:val="auto"/>
              </w:rPr>
            </w:pPr>
            <w:r>
              <w:rPr>
                <w:rFonts w:ascii="Arial" w:cs="Arial" w:eastAsia="Arial" w:hAnsi="Arial"/>
                <w:sz w:val="19"/>
                <w:szCs w:val="19"/>
                <w:color w:val="auto"/>
              </w:rPr>
              <w:t>Other comprehensive income (loss):</w:t>
            </w:r>
          </w:p>
        </w:tc>
        <w:tc>
          <w:tcPr>
            <w:tcW w:w="2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vMerge w:val="continue"/>
          </w:tcPr>
          <w:p>
            <w:pPr>
              <w:spacing w:after="0"/>
              <w:rPr>
                <w:sz w:val="21"/>
                <w:szCs w:val="21"/>
                <w:color w:val="auto"/>
              </w:rPr>
            </w:pPr>
          </w:p>
        </w:tc>
        <w:tc>
          <w:tcPr>
            <w:tcW w:w="2420" w:type="dxa"/>
            <w:vAlign w:val="bottom"/>
            <w:vMerge w:val="restart"/>
          </w:tcPr>
          <w:p>
            <w:pPr>
              <w:jc w:val="right"/>
              <w:ind w:right="386"/>
              <w:spacing w:after="0"/>
              <w:rPr>
                <w:sz w:val="20"/>
                <w:szCs w:val="20"/>
                <w:color w:val="auto"/>
              </w:rPr>
            </w:pPr>
            <w:r>
              <w:rPr>
                <w:rFonts w:ascii="Arial" w:cs="Arial" w:eastAsia="Arial" w:hAnsi="Arial"/>
                <w:sz w:val="19"/>
                <w:szCs w:val="19"/>
                <w:color w:val="auto"/>
              </w:rPr>
              <w:t>2,319</w:t>
            </w:r>
          </w:p>
        </w:tc>
        <w:tc>
          <w:tcPr>
            <w:tcW w:w="1640" w:type="dxa"/>
            <w:vAlign w:val="bottom"/>
            <w:vMerge w:val="restart"/>
          </w:tcPr>
          <w:p>
            <w:pPr>
              <w:jc w:val="right"/>
              <w:ind w:right="6"/>
              <w:spacing w:after="0"/>
              <w:rPr>
                <w:sz w:val="20"/>
                <w:szCs w:val="20"/>
                <w:color w:val="auto"/>
              </w:rPr>
            </w:pPr>
            <w:r>
              <w:rPr>
                <w:rFonts w:ascii="Arial" w:cs="Arial" w:eastAsia="Arial" w:hAnsi="Arial"/>
                <w:sz w:val="19"/>
                <w:szCs w:val="19"/>
                <w:color w:val="auto"/>
              </w:rPr>
              <w:t>(669)</w:t>
            </w:r>
          </w:p>
        </w:tc>
        <w:tc>
          <w:tcPr>
            <w:tcW w:w="0" w:type="dxa"/>
            <w:vAlign w:val="bottom"/>
          </w:tcPr>
          <w:p>
            <w:pPr>
              <w:spacing w:after="0"/>
              <w:rPr>
                <w:sz w:val="1"/>
                <w:szCs w:val="1"/>
                <w:color w:val="auto"/>
              </w:rPr>
            </w:pPr>
          </w:p>
        </w:tc>
      </w:tr>
      <w:tr>
        <w:trPr>
          <w:trHeight w:val="235"/>
        </w:trPr>
        <w:tc>
          <w:tcPr>
            <w:tcW w:w="7180" w:type="dxa"/>
            <w:vAlign w:val="bottom"/>
          </w:tcPr>
          <w:p>
            <w:pPr>
              <w:ind w:left="220"/>
              <w:spacing w:after="0"/>
              <w:rPr>
                <w:sz w:val="20"/>
                <w:szCs w:val="20"/>
                <w:color w:val="auto"/>
              </w:rPr>
            </w:pPr>
            <w:r>
              <w:rPr>
                <w:rFonts w:ascii="Arial" w:cs="Arial" w:eastAsia="Arial" w:hAnsi="Arial"/>
                <w:sz w:val="19"/>
                <w:szCs w:val="19"/>
                <w:color w:val="auto"/>
              </w:rPr>
              <w:t>Foreign currency translation adjustments</w:t>
            </w:r>
          </w:p>
        </w:tc>
        <w:tc>
          <w:tcPr>
            <w:tcW w:w="242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100"/>
              <w:spacing w:after="0" w:line="196" w:lineRule="exact"/>
              <w:rPr>
                <w:sz w:val="20"/>
                <w:szCs w:val="20"/>
                <w:color w:val="auto"/>
              </w:rPr>
            </w:pPr>
            <w:r>
              <w:rPr>
                <w:rFonts w:ascii="Arial" w:cs="Arial" w:eastAsia="Arial" w:hAnsi="Arial"/>
                <w:sz w:val="19"/>
                <w:szCs w:val="19"/>
                <w:color w:val="auto"/>
              </w:rPr>
              <w:t>Total comprehensive income (loss) attributable to ordinary shareholders</w:t>
            </w:r>
          </w:p>
        </w:tc>
        <w:tc>
          <w:tcPr>
            <w:tcW w:w="2420" w:type="dxa"/>
            <w:vAlign w:val="bottom"/>
            <w:tcBorders>
              <w:bottom w:val="single" w:sz="8" w:color="auto"/>
            </w:tcBorders>
          </w:tcPr>
          <w:p>
            <w:pPr>
              <w:jc w:val="right"/>
              <w:ind w:right="386"/>
              <w:spacing w:after="0" w:line="196" w:lineRule="exact"/>
              <w:rPr>
                <w:sz w:val="20"/>
                <w:szCs w:val="20"/>
                <w:color w:val="auto"/>
              </w:rPr>
            </w:pPr>
            <w:r>
              <w:rPr>
                <w:rFonts w:ascii="Arial" w:cs="Arial" w:eastAsia="Arial" w:hAnsi="Arial"/>
                <w:sz w:val="19"/>
                <w:szCs w:val="19"/>
                <w:color w:val="auto"/>
              </w:rPr>
              <w:t>3,428</w:t>
            </w:r>
          </w:p>
        </w:tc>
        <w:tc>
          <w:tcPr>
            <w:tcW w:w="1640" w:type="dxa"/>
            <w:vAlign w:val="bottom"/>
            <w:tcBorders>
              <w:bottom w:val="single" w:sz="8" w:color="auto"/>
            </w:tcBorders>
          </w:tcPr>
          <w:p>
            <w:pPr>
              <w:jc w:val="right"/>
              <w:ind w:right="6"/>
              <w:spacing w:after="0" w:line="196" w:lineRule="exact"/>
              <w:rPr>
                <w:sz w:val="20"/>
                <w:szCs w:val="20"/>
                <w:color w:val="auto"/>
              </w:rPr>
            </w:pPr>
            <w:r>
              <w:rPr>
                <w:rFonts w:ascii="Arial" w:cs="Arial" w:eastAsia="Arial" w:hAnsi="Arial"/>
                <w:sz w:val="19"/>
                <w:szCs w:val="19"/>
                <w:color w:val="auto"/>
              </w:rPr>
              <w:t>(262)</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00"/>
              <w:spacing w:after="0"/>
              <w:rPr>
                <w:sz w:val="20"/>
                <w:szCs w:val="20"/>
                <w:color w:val="auto"/>
              </w:rPr>
            </w:pPr>
            <w:r>
              <w:rPr>
                <w:rFonts w:ascii="Arial" w:cs="Arial" w:eastAsia="Arial" w:hAnsi="Arial"/>
                <w:sz w:val="19"/>
                <w:szCs w:val="19"/>
                <w:color w:val="auto"/>
              </w:rPr>
              <w:t>Net income per share attributable to ordinary shareholders, basic and diluted</w:t>
            </w:r>
          </w:p>
        </w:tc>
        <w:tc>
          <w:tcPr>
            <w:tcW w:w="2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1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9"/>
                <w:szCs w:val="19"/>
                <w:color w:val="auto"/>
              </w:rPr>
              <w:t>Basic</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0.003</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0.001</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9"/>
                <w:szCs w:val="19"/>
                <w:color w:val="auto"/>
              </w:rPr>
              <w:t>Diluted</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0.003</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0.001</w:t>
            </w:r>
          </w:p>
        </w:tc>
        <w:tc>
          <w:tcPr>
            <w:tcW w:w="0" w:type="dxa"/>
            <w:vAlign w:val="bottom"/>
          </w:tcPr>
          <w:p>
            <w:pPr>
              <w:spacing w:after="0"/>
              <w:rPr>
                <w:sz w:val="1"/>
                <w:szCs w:val="1"/>
                <w:color w:val="auto"/>
              </w:rPr>
            </w:pPr>
          </w:p>
        </w:tc>
      </w:tr>
      <w:tr>
        <w:trPr>
          <w:trHeight w:val="243"/>
        </w:trPr>
        <w:tc>
          <w:tcPr>
            <w:tcW w:w="7180" w:type="dxa"/>
            <w:vAlign w:val="bottom"/>
          </w:tcPr>
          <w:p>
            <w:pPr>
              <w:ind w:left="100"/>
              <w:spacing w:after="0"/>
              <w:rPr>
                <w:sz w:val="20"/>
                <w:szCs w:val="20"/>
                <w:color w:val="auto"/>
              </w:rPr>
            </w:pPr>
            <w:r>
              <w:rPr>
                <w:rFonts w:ascii="Arial" w:cs="Arial" w:eastAsia="Arial" w:hAnsi="Arial"/>
                <w:sz w:val="19"/>
                <w:szCs w:val="19"/>
                <w:color w:val="auto"/>
              </w:rPr>
              <w:t>Net income per ADS attributable to ordinary shareholders, basic and diluted</w:t>
            </w:r>
          </w:p>
        </w:tc>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9"/>
                <w:szCs w:val="19"/>
                <w:color w:val="auto"/>
              </w:rPr>
              <w:t>Basic</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0.01</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0.004</w:t>
            </w: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line="216" w:lineRule="exact"/>
              <w:rPr>
                <w:sz w:val="20"/>
                <w:szCs w:val="20"/>
                <w:color w:val="auto"/>
              </w:rPr>
            </w:pPr>
            <w:r>
              <w:rPr>
                <w:rFonts w:ascii="Arial" w:cs="Arial" w:eastAsia="Arial" w:hAnsi="Arial"/>
                <w:sz w:val="19"/>
                <w:szCs w:val="19"/>
                <w:color w:val="auto"/>
              </w:rPr>
              <w:t>Diluted</w:t>
            </w:r>
          </w:p>
        </w:tc>
        <w:tc>
          <w:tcPr>
            <w:tcW w:w="2420" w:type="dxa"/>
            <w:vAlign w:val="bottom"/>
          </w:tcPr>
          <w:p>
            <w:pPr>
              <w:jc w:val="right"/>
              <w:ind w:right="386"/>
              <w:spacing w:after="0" w:line="216" w:lineRule="exact"/>
              <w:rPr>
                <w:sz w:val="20"/>
                <w:szCs w:val="20"/>
                <w:color w:val="auto"/>
              </w:rPr>
            </w:pPr>
            <w:r>
              <w:rPr>
                <w:rFonts w:ascii="Arial" w:cs="Arial" w:eastAsia="Arial" w:hAnsi="Arial"/>
                <w:sz w:val="19"/>
                <w:szCs w:val="19"/>
                <w:color w:val="auto"/>
              </w:rPr>
              <w:t>0.01</w:t>
            </w:r>
          </w:p>
        </w:tc>
        <w:tc>
          <w:tcPr>
            <w:tcW w:w="1640" w:type="dxa"/>
            <w:vAlign w:val="bottom"/>
          </w:tcPr>
          <w:p>
            <w:pPr>
              <w:jc w:val="right"/>
              <w:ind w:right="6"/>
              <w:spacing w:after="0" w:line="216" w:lineRule="exact"/>
              <w:rPr>
                <w:sz w:val="20"/>
                <w:szCs w:val="20"/>
                <w:color w:val="auto"/>
              </w:rPr>
            </w:pPr>
            <w:r>
              <w:rPr>
                <w:rFonts w:ascii="Arial" w:cs="Arial" w:eastAsia="Arial" w:hAnsi="Arial"/>
                <w:sz w:val="19"/>
                <w:szCs w:val="19"/>
                <w:color w:val="auto"/>
              </w:rPr>
              <w:t>0.004</w:t>
            </w:r>
          </w:p>
        </w:tc>
        <w:tc>
          <w:tcPr>
            <w:tcW w:w="0" w:type="dxa"/>
            <w:vAlign w:val="bottom"/>
          </w:tcPr>
          <w:p>
            <w:pPr>
              <w:spacing w:after="0"/>
              <w:rPr>
                <w:sz w:val="1"/>
                <w:szCs w:val="1"/>
                <w:color w:val="auto"/>
              </w:rPr>
            </w:pPr>
          </w:p>
        </w:tc>
      </w:tr>
      <w:tr>
        <w:trPr>
          <w:trHeight w:val="216"/>
        </w:trPr>
        <w:tc>
          <w:tcPr>
            <w:tcW w:w="7180" w:type="dxa"/>
            <w:vAlign w:val="bottom"/>
          </w:tcPr>
          <w:p>
            <w:pPr>
              <w:ind w:left="100"/>
              <w:spacing w:after="0" w:line="216" w:lineRule="exact"/>
              <w:rPr>
                <w:sz w:val="20"/>
                <w:szCs w:val="20"/>
                <w:color w:val="auto"/>
              </w:rPr>
            </w:pPr>
            <w:r>
              <w:rPr>
                <w:rFonts w:ascii="Arial" w:cs="Arial" w:eastAsia="Arial" w:hAnsi="Arial"/>
                <w:sz w:val="19"/>
                <w:szCs w:val="19"/>
                <w:color w:val="auto"/>
              </w:rPr>
              <w:t>Weighted-average shares used in computing net income per ADS attributable to</w:t>
            </w:r>
          </w:p>
        </w:tc>
        <w:tc>
          <w:tcPr>
            <w:tcW w:w="2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100"/>
              <w:spacing w:after="0"/>
              <w:rPr>
                <w:sz w:val="20"/>
                <w:szCs w:val="20"/>
                <w:color w:val="auto"/>
              </w:rPr>
            </w:pPr>
            <w:r>
              <w:rPr>
                <w:rFonts w:ascii="Arial" w:cs="Arial" w:eastAsia="Arial" w:hAnsi="Arial"/>
                <w:sz w:val="19"/>
                <w:szCs w:val="19"/>
                <w:color w:val="auto"/>
              </w:rPr>
              <w:t>ordinary shareholders:</w:t>
            </w:r>
          </w:p>
        </w:tc>
        <w:tc>
          <w:tcPr>
            <w:tcW w:w="2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9"/>
                <w:szCs w:val="19"/>
                <w:color w:val="auto"/>
              </w:rPr>
              <w:t>Basic</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347,604,568</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377,173,029</w:t>
            </w:r>
          </w:p>
        </w:tc>
        <w:tc>
          <w:tcPr>
            <w:tcW w:w="0" w:type="dxa"/>
            <w:vAlign w:val="bottom"/>
          </w:tcPr>
          <w:p>
            <w:pPr>
              <w:spacing w:after="0"/>
              <w:rPr>
                <w:sz w:val="1"/>
                <w:szCs w:val="1"/>
                <w:color w:val="auto"/>
              </w:rPr>
            </w:pPr>
          </w:p>
        </w:tc>
      </w:tr>
      <w:tr>
        <w:trPr>
          <w:trHeight w:val="249"/>
        </w:trPr>
        <w:tc>
          <w:tcPr>
            <w:tcW w:w="7180" w:type="dxa"/>
            <w:vAlign w:val="bottom"/>
          </w:tcPr>
          <w:p>
            <w:pPr>
              <w:ind w:left="220"/>
              <w:spacing w:after="0"/>
              <w:rPr>
                <w:sz w:val="20"/>
                <w:szCs w:val="20"/>
                <w:color w:val="auto"/>
              </w:rPr>
            </w:pPr>
            <w:r>
              <w:rPr>
                <w:rFonts w:ascii="Arial" w:cs="Arial" w:eastAsia="Arial" w:hAnsi="Arial"/>
                <w:sz w:val="19"/>
                <w:szCs w:val="19"/>
                <w:color w:val="auto"/>
              </w:rPr>
              <w:t>Diluted</w:t>
            </w:r>
          </w:p>
        </w:tc>
        <w:tc>
          <w:tcPr>
            <w:tcW w:w="2420" w:type="dxa"/>
            <w:vAlign w:val="bottom"/>
          </w:tcPr>
          <w:p>
            <w:pPr>
              <w:jc w:val="right"/>
              <w:ind w:right="386"/>
              <w:spacing w:after="0"/>
              <w:rPr>
                <w:sz w:val="20"/>
                <w:szCs w:val="20"/>
                <w:color w:val="auto"/>
              </w:rPr>
            </w:pPr>
            <w:r>
              <w:rPr>
                <w:rFonts w:ascii="Arial" w:cs="Arial" w:eastAsia="Arial" w:hAnsi="Arial"/>
                <w:sz w:val="19"/>
                <w:szCs w:val="19"/>
                <w:color w:val="auto"/>
              </w:rPr>
              <w:t>378,375,152</w:t>
            </w:r>
          </w:p>
        </w:tc>
        <w:tc>
          <w:tcPr>
            <w:tcW w:w="1640" w:type="dxa"/>
            <w:vAlign w:val="bottom"/>
          </w:tcPr>
          <w:p>
            <w:pPr>
              <w:jc w:val="right"/>
              <w:ind w:right="6"/>
              <w:spacing w:after="0"/>
              <w:rPr>
                <w:sz w:val="20"/>
                <w:szCs w:val="20"/>
                <w:color w:val="auto"/>
              </w:rPr>
            </w:pPr>
            <w:r>
              <w:rPr>
                <w:rFonts w:ascii="Arial" w:cs="Arial" w:eastAsia="Arial" w:hAnsi="Arial"/>
                <w:sz w:val="19"/>
                <w:szCs w:val="19"/>
                <w:color w:val="auto"/>
              </w:rPr>
              <w:t>406,087,244</w:t>
            </w:r>
          </w:p>
        </w:tc>
        <w:tc>
          <w:tcPr>
            <w:tcW w:w="0" w:type="dxa"/>
            <w:vAlign w:val="bottom"/>
          </w:tcPr>
          <w:p>
            <w:pPr>
              <w:spacing w:after="0"/>
              <w:rPr>
                <w:sz w:val="1"/>
                <w:szCs w:val="1"/>
                <w:color w:val="auto"/>
              </w:rPr>
            </w:pPr>
          </w:p>
        </w:tc>
      </w:tr>
      <w:tr>
        <w:trPr>
          <w:trHeight w:val="480"/>
        </w:trPr>
        <w:tc>
          <w:tcPr>
            <w:tcW w:w="7180" w:type="dxa"/>
            <w:vAlign w:val="bottom"/>
          </w:tcPr>
          <w:p>
            <w:pPr>
              <w:ind w:left="100"/>
              <w:spacing w:after="0"/>
              <w:rPr>
                <w:sz w:val="20"/>
                <w:szCs w:val="20"/>
                <w:color w:val="auto"/>
              </w:rPr>
            </w:pPr>
            <w:r>
              <w:rPr>
                <w:rFonts w:ascii="Arial" w:cs="Arial" w:eastAsia="Arial" w:hAnsi="Arial"/>
                <w:sz w:val="19"/>
                <w:szCs w:val="19"/>
                <w:color w:val="auto"/>
              </w:rPr>
              <w:t>Share-based compensation expenses included in:</w:t>
            </w:r>
          </w:p>
        </w:tc>
        <w:tc>
          <w:tcPr>
            <w:tcW w:w="2420" w:type="dxa"/>
            <w:vAlign w:val="bottom"/>
            <w:vMerge w:val="restart"/>
          </w:tcPr>
          <w:p>
            <w:pPr>
              <w:jc w:val="right"/>
              <w:ind w:right="386"/>
              <w:spacing w:after="0"/>
              <w:rPr>
                <w:sz w:val="20"/>
                <w:szCs w:val="20"/>
                <w:color w:val="auto"/>
              </w:rPr>
            </w:pPr>
            <w:r>
              <w:rPr>
                <w:rFonts w:ascii="Arial" w:cs="Arial" w:eastAsia="Arial" w:hAnsi="Arial"/>
                <w:sz w:val="19"/>
                <w:szCs w:val="19"/>
                <w:color w:val="auto"/>
              </w:rPr>
              <w:t>2</w:t>
            </w:r>
          </w:p>
        </w:tc>
        <w:tc>
          <w:tcPr>
            <w:tcW w:w="1640" w:type="dxa"/>
            <w:vAlign w:val="bottom"/>
            <w:vMerge w:val="restart"/>
          </w:tcPr>
          <w:p>
            <w:pPr>
              <w:jc w:val="right"/>
              <w:ind w:right="6"/>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49"/>
        </w:trPr>
        <w:tc>
          <w:tcPr>
            <w:tcW w:w="7180" w:type="dxa"/>
            <w:vAlign w:val="bottom"/>
          </w:tcPr>
          <w:p>
            <w:pPr>
              <w:ind w:left="220"/>
              <w:spacing w:after="0"/>
              <w:rPr>
                <w:sz w:val="20"/>
                <w:szCs w:val="20"/>
                <w:color w:val="auto"/>
              </w:rPr>
            </w:pPr>
            <w:r>
              <w:rPr>
                <w:rFonts w:ascii="Arial" w:cs="Arial" w:eastAsia="Arial" w:hAnsi="Arial"/>
                <w:sz w:val="19"/>
                <w:szCs w:val="19"/>
                <w:color w:val="auto"/>
              </w:rPr>
              <w:t>Cost of revenues</w:t>
            </w:r>
          </w:p>
        </w:tc>
        <w:tc>
          <w:tcPr>
            <w:tcW w:w="242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03"/>
        </w:trPr>
        <w:tc>
          <w:tcPr>
            <w:tcW w:w="71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6100" w:type="dxa"/>
            <w:vAlign w:val="bottom"/>
          </w:tcPr>
          <w:p>
            <w:pPr>
              <w:ind w:left="220"/>
              <w:spacing w:after="0"/>
              <w:rPr>
                <w:sz w:val="20"/>
                <w:szCs w:val="20"/>
                <w:color w:val="auto"/>
              </w:rPr>
            </w:pPr>
            <w:r>
              <w:rPr>
                <w:rFonts w:ascii="Arial" w:cs="Arial" w:eastAsia="Arial" w:hAnsi="Arial"/>
                <w:sz w:val="19"/>
                <w:szCs w:val="19"/>
                <w:color w:val="auto"/>
              </w:rPr>
              <w:t>Research and development expenses</w:t>
            </w:r>
          </w:p>
        </w:tc>
        <w:tc>
          <w:tcPr>
            <w:tcW w:w="3800" w:type="dxa"/>
            <w:vAlign w:val="bottom"/>
          </w:tcPr>
          <w:p>
            <w:pPr>
              <w:jc w:val="right"/>
              <w:ind w:right="686"/>
              <w:spacing w:after="0"/>
              <w:rPr>
                <w:sz w:val="20"/>
                <w:szCs w:val="20"/>
                <w:color w:val="auto"/>
              </w:rPr>
            </w:pPr>
            <w:r>
              <w:rPr>
                <w:rFonts w:ascii="Arial" w:cs="Arial" w:eastAsia="Arial" w:hAnsi="Arial"/>
                <w:sz w:val="19"/>
                <w:szCs w:val="19"/>
                <w:color w:val="auto"/>
              </w:rPr>
              <w:t>593</w:t>
            </w:r>
          </w:p>
        </w:tc>
        <w:tc>
          <w:tcPr>
            <w:tcW w:w="1340" w:type="dxa"/>
            <w:vAlign w:val="bottom"/>
          </w:tcPr>
          <w:p>
            <w:pPr>
              <w:jc w:val="right"/>
              <w:ind w:right="6"/>
              <w:spacing w:after="0"/>
              <w:rPr>
                <w:sz w:val="20"/>
                <w:szCs w:val="20"/>
                <w:color w:val="auto"/>
              </w:rPr>
            </w:pPr>
            <w:r>
              <w:rPr>
                <w:rFonts w:ascii="Arial" w:cs="Arial" w:eastAsia="Arial" w:hAnsi="Arial"/>
                <w:sz w:val="19"/>
                <w:szCs w:val="19"/>
                <w:color w:val="auto"/>
              </w:rPr>
              <w:t>1,359</w:t>
            </w:r>
          </w:p>
        </w:tc>
      </w:tr>
      <w:tr>
        <w:trPr>
          <w:trHeight w:val="243"/>
        </w:trPr>
        <w:tc>
          <w:tcPr>
            <w:tcW w:w="6100" w:type="dxa"/>
            <w:vAlign w:val="bottom"/>
          </w:tcPr>
          <w:p>
            <w:pPr>
              <w:ind w:left="220"/>
              <w:spacing w:after="0"/>
              <w:rPr>
                <w:sz w:val="20"/>
                <w:szCs w:val="20"/>
                <w:color w:val="auto"/>
              </w:rPr>
            </w:pPr>
            <w:r>
              <w:rPr>
                <w:rFonts w:ascii="Arial" w:cs="Arial" w:eastAsia="Arial" w:hAnsi="Arial"/>
                <w:sz w:val="19"/>
                <w:szCs w:val="19"/>
                <w:color w:val="auto"/>
              </w:rPr>
              <w:t>Sales and marketing expenses</w:t>
            </w:r>
          </w:p>
        </w:tc>
        <w:tc>
          <w:tcPr>
            <w:tcW w:w="3800" w:type="dxa"/>
            <w:vAlign w:val="bottom"/>
          </w:tcPr>
          <w:p>
            <w:pPr>
              <w:jc w:val="right"/>
              <w:ind w:right="686"/>
              <w:spacing w:after="0"/>
              <w:rPr>
                <w:sz w:val="20"/>
                <w:szCs w:val="20"/>
                <w:color w:val="auto"/>
              </w:rPr>
            </w:pPr>
            <w:r>
              <w:rPr>
                <w:rFonts w:ascii="Arial" w:cs="Arial" w:eastAsia="Arial" w:hAnsi="Arial"/>
                <w:sz w:val="19"/>
                <w:szCs w:val="19"/>
                <w:color w:val="auto"/>
              </w:rPr>
              <w:t>123</w:t>
            </w:r>
          </w:p>
        </w:tc>
        <w:tc>
          <w:tcPr>
            <w:tcW w:w="1340" w:type="dxa"/>
            <w:vAlign w:val="bottom"/>
          </w:tcPr>
          <w:p>
            <w:pPr>
              <w:jc w:val="right"/>
              <w:ind w:right="6"/>
              <w:spacing w:after="0"/>
              <w:rPr>
                <w:sz w:val="20"/>
                <w:szCs w:val="20"/>
                <w:color w:val="auto"/>
              </w:rPr>
            </w:pPr>
            <w:r>
              <w:rPr>
                <w:rFonts w:ascii="Arial" w:cs="Arial" w:eastAsia="Arial" w:hAnsi="Arial"/>
                <w:sz w:val="19"/>
                <w:szCs w:val="19"/>
                <w:color w:val="auto"/>
              </w:rPr>
              <w:t>214</w:t>
            </w:r>
          </w:p>
        </w:tc>
      </w:tr>
      <w:tr>
        <w:trPr>
          <w:trHeight w:val="276"/>
        </w:trPr>
        <w:tc>
          <w:tcPr>
            <w:tcW w:w="6100" w:type="dxa"/>
            <w:vAlign w:val="bottom"/>
          </w:tcPr>
          <w:p>
            <w:pPr>
              <w:ind w:left="220"/>
              <w:spacing w:after="0"/>
              <w:rPr>
                <w:sz w:val="20"/>
                <w:szCs w:val="20"/>
                <w:color w:val="auto"/>
              </w:rPr>
            </w:pPr>
            <w:r>
              <w:rPr>
                <w:rFonts w:ascii="Arial" w:cs="Arial" w:eastAsia="Arial" w:hAnsi="Arial"/>
                <w:sz w:val="19"/>
                <w:szCs w:val="19"/>
                <w:color w:val="auto"/>
              </w:rPr>
              <w:t>General and administrative expenses</w:t>
            </w:r>
          </w:p>
        </w:tc>
        <w:tc>
          <w:tcPr>
            <w:tcW w:w="3800" w:type="dxa"/>
            <w:vAlign w:val="bottom"/>
          </w:tcPr>
          <w:p>
            <w:pPr>
              <w:jc w:val="right"/>
              <w:ind w:right="686"/>
              <w:spacing w:after="0"/>
              <w:rPr>
                <w:sz w:val="20"/>
                <w:szCs w:val="20"/>
                <w:color w:val="auto"/>
              </w:rPr>
            </w:pPr>
            <w:r>
              <w:rPr>
                <w:rFonts w:ascii="Arial" w:cs="Arial" w:eastAsia="Arial" w:hAnsi="Arial"/>
                <w:sz w:val="19"/>
                <w:szCs w:val="19"/>
                <w:color w:val="auto"/>
              </w:rPr>
              <w:t>586</w:t>
            </w:r>
          </w:p>
        </w:tc>
        <w:tc>
          <w:tcPr>
            <w:tcW w:w="1340" w:type="dxa"/>
            <w:vAlign w:val="bottom"/>
          </w:tcPr>
          <w:p>
            <w:pPr>
              <w:jc w:val="right"/>
              <w:ind w:right="6"/>
              <w:spacing w:after="0"/>
              <w:rPr>
                <w:sz w:val="20"/>
                <w:szCs w:val="20"/>
                <w:color w:val="auto"/>
              </w:rPr>
            </w:pPr>
            <w:r>
              <w:rPr>
                <w:rFonts w:ascii="Arial" w:cs="Arial" w:eastAsia="Arial" w:hAnsi="Arial"/>
                <w:sz w:val="19"/>
                <w:szCs w:val="19"/>
                <w:color w:val="auto"/>
              </w:rPr>
              <w:t>328</w:t>
            </w:r>
          </w:p>
        </w:tc>
      </w:tr>
      <w:tr>
        <w:trPr>
          <w:trHeight w:val="1418"/>
        </w:trPr>
        <w:tc>
          <w:tcPr>
            <w:tcW w:w="6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Agora,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Cash Flows</w:t>
      </w:r>
    </w:p>
    <w:p>
      <w:pPr>
        <w:spacing w:after="0"/>
        <w:rPr>
          <w:sz w:val="20"/>
          <w:szCs w:val="20"/>
          <w:color w:val="auto"/>
        </w:rPr>
      </w:pPr>
      <w:r>
        <w:rPr>
          <w:rFonts w:ascii="Arial" w:cs="Arial" w:eastAsia="Arial" w:hAnsi="Arial"/>
          <w:sz w:val="19"/>
          <w:szCs w:val="19"/>
          <w:b w:val="1"/>
          <w:bCs w:val="1"/>
          <w:color w:val="auto"/>
        </w:rPr>
        <w:t>(Unaudited, in US$ thousands)</w:t>
      </w:r>
    </w:p>
    <w:p>
      <w:pPr>
        <w:spacing w:after="0" w:line="196" w:lineRule="exact"/>
        <w:rPr>
          <w:sz w:val="20"/>
          <w:szCs w:val="20"/>
          <w:color w:val="auto"/>
        </w:rPr>
      </w:pPr>
    </w:p>
    <w:p>
      <w:pPr>
        <w:ind w:left="7920"/>
        <w:spacing w:after="0"/>
        <w:rPr>
          <w:sz w:val="20"/>
          <w:szCs w:val="20"/>
          <w:color w:val="auto"/>
        </w:rPr>
      </w:pPr>
      <w:r>
        <w:rPr>
          <w:rFonts w:ascii="Arial" w:cs="Arial" w:eastAsia="Arial" w:hAnsi="Arial"/>
          <w:sz w:val="19"/>
          <w:szCs w:val="19"/>
          <w:color w:val="auto"/>
        </w:rPr>
        <w:t>Three Month Ended 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2026</w:t>
            </w:r>
          </w:p>
        </w:tc>
        <w:tc>
          <w:tcPr>
            <w:tcW w:w="1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705"/>
              <w:spacing w:after="0" w:line="210" w:lineRule="exact"/>
              <w:rPr>
                <w:sz w:val="20"/>
                <w:szCs w:val="20"/>
                <w:color w:val="auto"/>
              </w:rPr>
            </w:pPr>
            <w:r>
              <w:rPr>
                <w:rFonts w:ascii="Arial" w:cs="Arial" w:eastAsia="Arial" w:hAnsi="Arial"/>
                <w:sz w:val="19"/>
                <w:szCs w:val="19"/>
                <w:color w:val="auto"/>
              </w:rPr>
              <w:t>2025</w:t>
            </w:r>
          </w:p>
        </w:tc>
        <w:tc>
          <w:tcPr>
            <w:tcW w:w="0" w:type="dxa"/>
            <w:vAlign w:val="bottom"/>
          </w:tcPr>
          <w:p>
            <w:pPr>
              <w:spacing w:after="0"/>
              <w:rPr>
                <w:sz w:val="1"/>
                <w:szCs w:val="1"/>
                <w:color w:val="auto"/>
              </w:rPr>
            </w:pPr>
          </w:p>
        </w:tc>
      </w:tr>
      <w:tr>
        <w:trPr>
          <w:trHeight w:val="223"/>
        </w:trPr>
        <w:tc>
          <w:tcPr>
            <w:tcW w:w="7160" w:type="dxa"/>
            <w:vAlign w:val="bottom"/>
          </w:tcPr>
          <w:p>
            <w:pPr>
              <w:ind w:left="100"/>
              <w:spacing w:after="0"/>
              <w:rPr>
                <w:sz w:val="20"/>
                <w:szCs w:val="20"/>
                <w:color w:val="auto"/>
              </w:rPr>
            </w:pPr>
            <w:r>
              <w:rPr>
                <w:rFonts w:ascii="Arial" w:cs="Arial" w:eastAsia="Arial" w:hAnsi="Arial"/>
                <w:sz w:val="19"/>
                <w:szCs w:val="19"/>
                <w:color w:val="auto"/>
              </w:rPr>
              <w:t>Cash flows from operating activities:</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Net income</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1,109</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407</w:t>
            </w:r>
          </w:p>
        </w:tc>
        <w:tc>
          <w:tcPr>
            <w:tcW w:w="0" w:type="dxa"/>
            <w:vAlign w:val="bottom"/>
          </w:tcPr>
          <w:p>
            <w:pPr>
              <w:spacing w:after="0"/>
              <w:rPr>
                <w:sz w:val="1"/>
                <w:szCs w:val="1"/>
                <w:color w:val="auto"/>
              </w:rPr>
            </w:pPr>
          </w:p>
        </w:tc>
      </w:tr>
      <w:tr>
        <w:trPr>
          <w:trHeight w:val="466"/>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Adjustments to reconcile net income to net cash provided by operating activities:</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ind w:left="100"/>
              <w:spacing w:after="0" w:line="216" w:lineRule="exact"/>
              <w:rPr>
                <w:sz w:val="20"/>
                <w:szCs w:val="20"/>
                <w:color w:val="auto"/>
              </w:rPr>
            </w:pPr>
            <w:r>
              <w:rPr>
                <w:rFonts w:ascii="Arial" w:cs="Arial" w:eastAsia="Arial" w:hAnsi="Arial"/>
                <w:sz w:val="19"/>
                <w:szCs w:val="19"/>
                <w:color w:val="auto"/>
              </w:rPr>
              <w:t>Share-based compensation expenses</w:t>
            </w:r>
          </w:p>
        </w:tc>
        <w:tc>
          <w:tcPr>
            <w:tcW w:w="1160" w:type="dxa"/>
            <w:vAlign w:val="bottom"/>
          </w:tcPr>
          <w:p>
            <w:pPr>
              <w:jc w:val="right"/>
              <w:ind w:right="366"/>
              <w:spacing w:after="0" w:line="216" w:lineRule="exact"/>
              <w:rPr>
                <w:sz w:val="20"/>
                <w:szCs w:val="20"/>
                <w:color w:val="auto"/>
              </w:rPr>
            </w:pPr>
            <w:r>
              <w:rPr>
                <w:rFonts w:ascii="Arial" w:cs="Arial" w:eastAsia="Arial" w:hAnsi="Arial"/>
                <w:sz w:val="19"/>
                <w:szCs w:val="19"/>
                <w:color w:val="auto"/>
              </w:rPr>
              <w:t>1,304</w:t>
            </w:r>
          </w:p>
        </w:tc>
        <w:tc>
          <w:tcPr>
            <w:tcW w:w="1680" w:type="dxa"/>
            <w:vAlign w:val="bottom"/>
          </w:tcPr>
          <w:p>
            <w:pPr>
              <w:jc w:val="right"/>
              <w:ind w:right="5"/>
              <w:spacing w:after="0" w:line="216" w:lineRule="exact"/>
              <w:rPr>
                <w:sz w:val="20"/>
                <w:szCs w:val="20"/>
                <w:color w:val="auto"/>
              </w:rPr>
            </w:pPr>
            <w:r>
              <w:rPr>
                <w:rFonts w:ascii="Arial" w:cs="Arial" w:eastAsia="Arial" w:hAnsi="Arial"/>
                <w:sz w:val="19"/>
                <w:szCs w:val="19"/>
                <w:color w:val="auto"/>
              </w:rPr>
              <w:t>1,948</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Allowance for current expected credit losses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802</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1,684</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Depreciation of property and equipment</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370</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592</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Amortization of intangible assets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80</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Amortization of land use right</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877</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849</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Deferred tax expense</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(12)</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Amortization of right-of-use asset and interest on lease liabilities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466</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538</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Investment loss (income)</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851</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(689)</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(Income) loss from equity in affiliates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(56)</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238</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Losses on disposal of property and equipment</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00"/>
              <w:spacing w:after="0"/>
              <w:rPr>
                <w:sz w:val="20"/>
                <w:szCs w:val="20"/>
                <w:color w:val="auto"/>
              </w:rPr>
            </w:pPr>
            <w:r>
              <w:rPr>
                <w:rFonts w:ascii="Arial" w:cs="Arial" w:eastAsia="Arial" w:hAnsi="Arial"/>
                <w:sz w:val="19"/>
                <w:szCs w:val="19"/>
                <w:color w:val="auto"/>
              </w:rPr>
              <w:t>Changes in assets and liabilities, net of effect of acquisition:</w:t>
            </w:r>
          </w:p>
        </w:tc>
        <w:tc>
          <w:tcPr>
            <w:tcW w:w="1160" w:type="dxa"/>
            <w:vAlign w:val="bottom"/>
            <w:vMerge w:val="restart"/>
          </w:tcPr>
          <w:p>
            <w:pPr>
              <w:jc w:val="right"/>
              <w:ind w:right="366"/>
              <w:spacing w:after="0"/>
              <w:rPr>
                <w:sz w:val="20"/>
                <w:szCs w:val="20"/>
                <w:color w:val="auto"/>
              </w:rPr>
            </w:pPr>
            <w:r>
              <w:rPr>
                <w:rFonts w:ascii="Arial" w:cs="Arial" w:eastAsia="Arial" w:hAnsi="Arial"/>
                <w:sz w:val="19"/>
                <w:szCs w:val="19"/>
                <w:color w:val="auto"/>
              </w:rPr>
              <w:t>(637)</w:t>
            </w:r>
          </w:p>
        </w:tc>
        <w:tc>
          <w:tcPr>
            <w:tcW w:w="1680" w:type="dxa"/>
            <w:vAlign w:val="bottom"/>
            <w:vMerge w:val="restart"/>
          </w:tcPr>
          <w:p>
            <w:pPr>
              <w:jc w:val="right"/>
              <w:ind w:right="5"/>
              <w:spacing w:after="0"/>
              <w:rPr>
                <w:sz w:val="20"/>
                <w:szCs w:val="20"/>
                <w:color w:val="auto"/>
              </w:rPr>
            </w:pPr>
            <w:r>
              <w:rPr>
                <w:rFonts w:ascii="Arial" w:cs="Arial" w:eastAsia="Arial" w:hAnsi="Arial"/>
                <w:sz w:val="19"/>
                <w:szCs w:val="19"/>
                <w:color w:val="auto"/>
              </w:rPr>
              <w:t>2,099</w:t>
            </w:r>
          </w:p>
        </w:tc>
        <w:tc>
          <w:tcPr>
            <w:tcW w:w="0" w:type="dxa"/>
            <w:vAlign w:val="bottom"/>
          </w:tcPr>
          <w:p>
            <w:pPr>
              <w:spacing w:after="0"/>
              <w:rPr>
                <w:sz w:val="1"/>
                <w:szCs w:val="1"/>
                <w:color w:val="auto"/>
              </w:rPr>
            </w:pPr>
          </w:p>
        </w:tc>
      </w:tr>
      <w:tr>
        <w:trPr>
          <w:trHeight w:val="216"/>
        </w:trPr>
        <w:tc>
          <w:tcPr>
            <w:tcW w:w="840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Accounts receivable</w:t>
            </w:r>
          </w:p>
        </w:tc>
        <w:tc>
          <w:tcPr>
            <w:tcW w:w="11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Contract assets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Prepayments and other current assets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626</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14,817</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Other non-current assets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(54)</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(1,215)</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Accounts payable</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1,105</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(1,520)</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Advances from customers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412</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Taxes payable</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(81)</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(1,018)</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Deferred income</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111</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Operating lease liabilities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(547)</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(572)</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Accrued expenses and other liabilities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(924)</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(1,182)</w:t>
            </w:r>
          </w:p>
        </w:tc>
        <w:tc>
          <w:tcPr>
            <w:tcW w:w="0" w:type="dxa"/>
            <w:vAlign w:val="bottom"/>
          </w:tcPr>
          <w:p>
            <w:pPr>
              <w:spacing w:after="0"/>
              <w:rPr>
                <w:sz w:val="1"/>
                <w:szCs w:val="1"/>
                <w:color w:val="auto"/>
              </w:rPr>
            </w:pPr>
          </w:p>
        </w:tc>
      </w:tr>
      <w:tr>
        <w:trPr>
          <w:trHeight w:val="210"/>
        </w:trPr>
        <w:tc>
          <w:tcPr>
            <w:tcW w:w="7160" w:type="dxa"/>
            <w:vAlign w:val="bottom"/>
          </w:tcPr>
          <w:p>
            <w:pPr>
              <w:ind w:left="100"/>
              <w:spacing w:after="0" w:line="210" w:lineRule="exact"/>
              <w:rPr>
                <w:sz w:val="20"/>
                <w:szCs w:val="20"/>
                <w:color w:val="auto"/>
              </w:rPr>
            </w:pPr>
            <w:r>
              <w:rPr>
                <w:rFonts w:ascii="Arial" w:cs="Arial" w:eastAsia="Arial" w:hAnsi="Arial"/>
                <w:sz w:val="19"/>
                <w:szCs w:val="19"/>
                <w:color w:val="auto"/>
              </w:rPr>
              <w:t>Net cash provided by operating activities</w:t>
            </w:r>
          </w:p>
        </w:tc>
        <w:tc>
          <w:tcPr>
            <w:tcW w:w="1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66"/>
              <w:spacing w:after="0" w:line="210" w:lineRule="exact"/>
              <w:rPr>
                <w:sz w:val="20"/>
                <w:szCs w:val="20"/>
                <w:color w:val="auto"/>
              </w:rPr>
            </w:pPr>
            <w:r>
              <w:rPr>
                <w:rFonts w:ascii="Arial" w:cs="Arial" w:eastAsia="Arial" w:hAnsi="Arial"/>
                <w:sz w:val="19"/>
                <w:szCs w:val="19"/>
                <w:color w:val="auto"/>
              </w:rPr>
              <w:t>5,692</w:t>
            </w:r>
          </w:p>
        </w:tc>
        <w:tc>
          <w:tcPr>
            <w:tcW w:w="1680" w:type="dxa"/>
            <w:vAlign w:val="bottom"/>
            <w:tcBorders>
              <w:top w:val="single" w:sz="8" w:color="auto"/>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17,577</w:t>
            </w:r>
          </w:p>
        </w:tc>
        <w:tc>
          <w:tcPr>
            <w:tcW w:w="0" w:type="dxa"/>
            <w:vAlign w:val="bottom"/>
          </w:tcPr>
          <w:p>
            <w:pPr>
              <w:spacing w:after="0"/>
              <w:rPr>
                <w:sz w:val="1"/>
                <w:szCs w:val="1"/>
                <w:color w:val="auto"/>
              </w:rPr>
            </w:pPr>
          </w:p>
        </w:tc>
      </w:tr>
      <w:tr>
        <w:trPr>
          <w:trHeight w:val="223"/>
        </w:trPr>
        <w:tc>
          <w:tcPr>
            <w:tcW w:w="7160" w:type="dxa"/>
            <w:vAlign w:val="bottom"/>
          </w:tcPr>
          <w:p>
            <w:pPr>
              <w:ind w:left="100"/>
              <w:spacing w:after="0"/>
              <w:rPr>
                <w:sz w:val="20"/>
                <w:szCs w:val="20"/>
                <w:color w:val="auto"/>
              </w:rPr>
            </w:pPr>
            <w:r>
              <w:rPr>
                <w:rFonts w:ascii="Arial" w:cs="Arial" w:eastAsia="Arial" w:hAnsi="Arial"/>
                <w:sz w:val="19"/>
                <w:szCs w:val="19"/>
                <w:color w:val="auto"/>
              </w:rPr>
              <w:t>Cash flows from investing activities:</w:t>
            </w:r>
          </w:p>
        </w:tc>
        <w:tc>
          <w:tcPr>
            <w:tcW w:w="1240" w:type="dxa"/>
            <w:vAlign w:val="bottom"/>
          </w:tcPr>
          <w:p>
            <w:pPr>
              <w:spacing w:after="0"/>
              <w:rPr>
                <w:sz w:val="19"/>
                <w:szCs w:val="19"/>
                <w:color w:val="auto"/>
              </w:rPr>
            </w:pPr>
          </w:p>
        </w:tc>
        <w:tc>
          <w:tcPr>
            <w:tcW w:w="1160" w:type="dxa"/>
            <w:vAlign w:val="bottom"/>
            <w:vMerge w:val="restart"/>
          </w:tcPr>
          <w:p>
            <w:pPr>
              <w:jc w:val="right"/>
              <w:ind w:right="366"/>
              <w:spacing w:after="0"/>
              <w:rPr>
                <w:sz w:val="20"/>
                <w:szCs w:val="20"/>
                <w:color w:val="auto"/>
              </w:rPr>
            </w:pPr>
            <w:r>
              <w:rPr>
                <w:rFonts w:ascii="Arial" w:cs="Arial" w:eastAsia="Arial" w:hAnsi="Arial"/>
                <w:sz w:val="19"/>
                <w:szCs w:val="19"/>
                <w:color w:val="auto"/>
              </w:rPr>
              <w:t>(56)</w:t>
            </w:r>
          </w:p>
        </w:tc>
        <w:tc>
          <w:tcPr>
            <w:tcW w:w="1680" w:type="dxa"/>
            <w:vAlign w:val="bottom"/>
            <w:vMerge w:val="restart"/>
          </w:tcPr>
          <w:p>
            <w:pPr>
              <w:jc w:val="right"/>
              <w:ind w:right="5"/>
              <w:spacing w:after="0"/>
              <w:rPr>
                <w:sz w:val="20"/>
                <w:szCs w:val="20"/>
                <w:color w:val="auto"/>
              </w:rPr>
            </w:pPr>
            <w:r>
              <w:rPr>
                <w:rFonts w:ascii="Arial" w:cs="Arial" w:eastAsia="Arial" w:hAnsi="Arial"/>
                <w:sz w:val="19"/>
                <w:szCs w:val="19"/>
                <w:color w:val="auto"/>
              </w:rPr>
              <w:t>(555)</w:t>
            </w:r>
          </w:p>
        </w:tc>
        <w:tc>
          <w:tcPr>
            <w:tcW w:w="0" w:type="dxa"/>
            <w:vAlign w:val="bottom"/>
          </w:tcPr>
          <w:p>
            <w:pPr>
              <w:spacing w:after="0"/>
              <w:rPr>
                <w:sz w:val="1"/>
                <w:szCs w:val="1"/>
                <w:color w:val="auto"/>
              </w:rPr>
            </w:pPr>
          </w:p>
        </w:tc>
      </w:tr>
      <w:tr>
        <w:trPr>
          <w:trHeight w:val="216"/>
        </w:trPr>
        <w:tc>
          <w:tcPr>
            <w:tcW w:w="840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Purchase of property and equipment</w:t>
            </w:r>
          </w:p>
        </w:tc>
        <w:tc>
          <w:tcPr>
            <w:tcW w:w="11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Purchase of short-term bank deposits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w w:val="96"/>
              </w:rPr>
              <w:t>(10,000)</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(25,077)</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Purchase of short-term financial products issued by banks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(10,279)</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Proceeds from maturity of short-term bank deposits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45,428</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158,327</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Proceeds from maturity of short-term financial products issued by banks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3,145</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23,013</w:t>
            </w:r>
          </w:p>
        </w:tc>
        <w:tc>
          <w:tcPr>
            <w:tcW w:w="0" w:type="dxa"/>
            <w:vAlign w:val="bottom"/>
          </w:tcPr>
          <w:p>
            <w:pPr>
              <w:spacing w:after="0"/>
              <w:rPr>
                <w:sz w:val="1"/>
                <w:szCs w:val="1"/>
                <w:color w:val="auto"/>
              </w:rPr>
            </w:pPr>
          </w:p>
        </w:tc>
      </w:tr>
      <w:tr>
        <w:trPr>
          <w:trHeight w:val="216"/>
        </w:trPr>
        <w:tc>
          <w:tcPr>
            <w:tcW w:w="840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Proceeds from sales of short-term investments</w:t>
            </w:r>
          </w:p>
        </w:tc>
        <w:tc>
          <w:tcPr>
            <w:tcW w:w="1160" w:type="dxa"/>
            <w:vAlign w:val="bottom"/>
          </w:tcPr>
          <w:p>
            <w:pPr>
              <w:jc w:val="right"/>
              <w:ind w:right="366"/>
              <w:spacing w:after="0" w:line="216" w:lineRule="exact"/>
              <w:rPr>
                <w:sz w:val="20"/>
                <w:szCs w:val="20"/>
                <w:color w:val="auto"/>
              </w:rPr>
            </w:pPr>
            <w:r>
              <w:rPr>
                <w:rFonts w:ascii="Arial" w:cs="Arial" w:eastAsia="Arial" w:hAnsi="Arial"/>
                <w:sz w:val="19"/>
                <w:szCs w:val="19"/>
                <w:color w:val="auto"/>
              </w:rPr>
              <w:t>2</w:t>
            </w:r>
          </w:p>
        </w:tc>
        <w:tc>
          <w:tcPr>
            <w:tcW w:w="168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Purchase of long-term bank deposits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(154,001)</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Purchase of construction in progress for the headquarters project</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(9,357)</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(10,281)</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Disposal of property and equipment</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43"/>
        </w:trPr>
        <w:tc>
          <w:tcPr>
            <w:tcW w:w="8400" w:type="dxa"/>
            <w:vAlign w:val="bottom"/>
            <w:gridSpan w:val="2"/>
          </w:tcPr>
          <w:p>
            <w:pPr>
              <w:ind w:left="220"/>
              <w:spacing w:after="0"/>
              <w:rPr>
                <w:sz w:val="20"/>
                <w:szCs w:val="20"/>
                <w:color w:val="auto"/>
              </w:rPr>
            </w:pPr>
            <w:r>
              <w:rPr>
                <w:rFonts w:ascii="Arial" w:cs="Arial" w:eastAsia="Arial" w:hAnsi="Arial"/>
                <w:sz w:val="19"/>
                <w:szCs w:val="19"/>
                <w:color w:val="auto"/>
              </w:rPr>
              <w:t>Refundable deposit received in relation to disposal of subsidiaries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4,410</w:t>
            </w:r>
          </w:p>
        </w:tc>
        <w:tc>
          <w:tcPr>
            <w:tcW w:w="0" w:type="dxa"/>
            <w:vAlign w:val="bottom"/>
          </w:tcPr>
          <w:p>
            <w:pPr>
              <w:spacing w:after="0"/>
              <w:rPr>
                <w:sz w:val="1"/>
                <w:szCs w:val="1"/>
                <w:color w:val="auto"/>
              </w:rPr>
            </w:pPr>
          </w:p>
        </w:tc>
      </w:tr>
      <w:tr>
        <w:trPr>
          <w:trHeight w:val="210"/>
        </w:trPr>
        <w:tc>
          <w:tcPr>
            <w:tcW w:w="7160" w:type="dxa"/>
            <w:vAlign w:val="bottom"/>
          </w:tcPr>
          <w:p>
            <w:pPr>
              <w:ind w:left="100"/>
              <w:spacing w:after="0" w:line="210" w:lineRule="exact"/>
              <w:rPr>
                <w:sz w:val="20"/>
                <w:szCs w:val="20"/>
                <w:color w:val="auto"/>
              </w:rPr>
            </w:pPr>
            <w:r>
              <w:rPr>
                <w:rFonts w:ascii="Arial" w:cs="Arial" w:eastAsia="Arial" w:hAnsi="Arial"/>
                <w:sz w:val="19"/>
                <w:szCs w:val="19"/>
                <w:color w:val="auto"/>
              </w:rPr>
              <w:t>Net cash provided by (used in) investing activities</w:t>
            </w:r>
          </w:p>
        </w:tc>
        <w:tc>
          <w:tcPr>
            <w:tcW w:w="1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66"/>
              <w:spacing w:after="0" w:line="210" w:lineRule="exact"/>
              <w:rPr>
                <w:sz w:val="20"/>
                <w:szCs w:val="20"/>
                <w:color w:val="auto"/>
              </w:rPr>
            </w:pPr>
            <w:r>
              <w:rPr>
                <w:rFonts w:ascii="Arial" w:cs="Arial" w:eastAsia="Arial" w:hAnsi="Arial"/>
                <w:sz w:val="19"/>
                <w:szCs w:val="19"/>
                <w:color w:val="auto"/>
              </w:rPr>
              <w:t>29,163</w:t>
            </w:r>
          </w:p>
        </w:tc>
        <w:tc>
          <w:tcPr>
            <w:tcW w:w="1680" w:type="dxa"/>
            <w:vAlign w:val="bottom"/>
            <w:tcBorders>
              <w:top w:val="single" w:sz="8" w:color="auto"/>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(14,417)</w:t>
            </w:r>
          </w:p>
        </w:tc>
        <w:tc>
          <w:tcPr>
            <w:tcW w:w="0" w:type="dxa"/>
            <w:vAlign w:val="bottom"/>
          </w:tcPr>
          <w:p>
            <w:pPr>
              <w:spacing w:after="0"/>
              <w:rPr>
                <w:sz w:val="1"/>
                <w:szCs w:val="1"/>
                <w:color w:val="auto"/>
              </w:rPr>
            </w:pPr>
          </w:p>
        </w:tc>
      </w:tr>
      <w:tr>
        <w:trPr>
          <w:trHeight w:val="243"/>
        </w:trPr>
        <w:tc>
          <w:tcPr>
            <w:tcW w:w="7160" w:type="dxa"/>
            <w:vAlign w:val="bottom"/>
          </w:tcPr>
          <w:p>
            <w:pPr>
              <w:ind w:left="100"/>
              <w:spacing w:after="0"/>
              <w:rPr>
                <w:sz w:val="20"/>
                <w:szCs w:val="20"/>
                <w:color w:val="auto"/>
              </w:rPr>
            </w:pPr>
            <w:r>
              <w:rPr>
                <w:rFonts w:ascii="Arial" w:cs="Arial" w:eastAsia="Arial" w:hAnsi="Arial"/>
                <w:sz w:val="19"/>
                <w:szCs w:val="19"/>
                <w:color w:val="auto"/>
              </w:rPr>
              <w:t>Cash flows from financing activities:</w:t>
            </w:r>
          </w:p>
        </w:tc>
        <w:tc>
          <w:tcPr>
            <w:tcW w:w="1240" w:type="dxa"/>
            <w:vAlign w:val="bottom"/>
          </w:tcPr>
          <w:p>
            <w:pPr>
              <w:spacing w:after="0"/>
              <w:rPr>
                <w:sz w:val="21"/>
                <w:szCs w:val="21"/>
                <w:color w:val="auto"/>
              </w:rPr>
            </w:pPr>
          </w:p>
        </w:tc>
        <w:tc>
          <w:tcPr>
            <w:tcW w:w="1160" w:type="dxa"/>
            <w:vAlign w:val="bottom"/>
            <w:vMerge w:val="restart"/>
          </w:tcPr>
          <w:p>
            <w:pPr>
              <w:jc w:val="right"/>
              <w:ind w:right="366"/>
              <w:spacing w:after="0"/>
              <w:rPr>
                <w:sz w:val="20"/>
                <w:szCs w:val="20"/>
                <w:color w:val="auto"/>
              </w:rPr>
            </w:pPr>
            <w:r>
              <w:rPr>
                <w:rFonts w:ascii="Arial" w:cs="Arial" w:eastAsia="Arial" w:hAnsi="Arial"/>
                <w:sz w:val="19"/>
                <w:szCs w:val="19"/>
                <w:color w:val="auto"/>
              </w:rPr>
              <w:t>9,393</w:t>
            </w:r>
          </w:p>
        </w:tc>
        <w:tc>
          <w:tcPr>
            <w:tcW w:w="1680" w:type="dxa"/>
            <w:vAlign w:val="bottom"/>
            <w:vMerge w:val="restart"/>
          </w:tcPr>
          <w:p>
            <w:pPr>
              <w:jc w:val="right"/>
              <w:ind w:right="5"/>
              <w:spacing w:after="0"/>
              <w:rPr>
                <w:sz w:val="20"/>
                <w:szCs w:val="20"/>
                <w:color w:val="auto"/>
              </w:rPr>
            </w:pPr>
            <w:r>
              <w:rPr>
                <w:rFonts w:ascii="Arial" w:cs="Arial" w:eastAsia="Arial" w:hAnsi="Arial"/>
                <w:sz w:val="19"/>
                <w:szCs w:val="19"/>
                <w:color w:val="auto"/>
              </w:rPr>
              <w:t>10,627</w:t>
            </w:r>
          </w:p>
        </w:tc>
        <w:tc>
          <w:tcPr>
            <w:tcW w:w="0" w:type="dxa"/>
            <w:vAlign w:val="bottom"/>
          </w:tcPr>
          <w:p>
            <w:pPr>
              <w:spacing w:after="0"/>
              <w:rPr>
                <w:sz w:val="1"/>
                <w:szCs w:val="1"/>
                <w:color w:val="auto"/>
              </w:rPr>
            </w:pPr>
          </w:p>
        </w:tc>
      </w:tr>
      <w:tr>
        <w:trPr>
          <w:trHeight w:val="223"/>
        </w:trPr>
        <w:tc>
          <w:tcPr>
            <w:tcW w:w="8400" w:type="dxa"/>
            <w:vAlign w:val="bottom"/>
            <w:gridSpan w:val="2"/>
          </w:tcPr>
          <w:p>
            <w:pPr>
              <w:ind w:left="240"/>
              <w:spacing w:after="0"/>
              <w:rPr>
                <w:sz w:val="20"/>
                <w:szCs w:val="20"/>
                <w:color w:val="auto"/>
              </w:rPr>
            </w:pPr>
            <w:r>
              <w:rPr>
                <w:rFonts w:ascii="Arial" w:cs="Arial" w:eastAsia="Arial" w:hAnsi="Arial"/>
                <w:sz w:val="19"/>
                <w:szCs w:val="19"/>
                <w:color w:val="auto"/>
              </w:rPr>
              <w:t>Proceeds from long-term borrowings</w:t>
            </w:r>
          </w:p>
        </w:tc>
        <w:tc>
          <w:tcPr>
            <w:tcW w:w="11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400" w:type="dxa"/>
            <w:vAlign w:val="bottom"/>
            <w:gridSpan w:val="2"/>
          </w:tcPr>
          <w:p>
            <w:pPr>
              <w:ind w:left="240"/>
              <w:spacing w:after="0"/>
              <w:rPr>
                <w:sz w:val="20"/>
                <w:szCs w:val="20"/>
                <w:color w:val="auto"/>
              </w:rPr>
            </w:pPr>
            <w:r>
              <w:rPr>
                <w:rFonts w:ascii="Arial" w:cs="Arial" w:eastAsia="Arial" w:hAnsi="Arial"/>
                <w:sz w:val="19"/>
                <w:szCs w:val="19"/>
                <w:color w:val="auto"/>
              </w:rPr>
              <w:t>Proceeds from exercise of employees’ share options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13</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296</w:t>
            </w:r>
          </w:p>
        </w:tc>
        <w:tc>
          <w:tcPr>
            <w:tcW w:w="0" w:type="dxa"/>
            <w:vAlign w:val="bottom"/>
          </w:tcPr>
          <w:p>
            <w:pPr>
              <w:spacing w:after="0"/>
              <w:rPr>
                <w:sz w:val="1"/>
                <w:szCs w:val="1"/>
                <w:color w:val="auto"/>
              </w:rPr>
            </w:pPr>
          </w:p>
        </w:tc>
      </w:tr>
      <w:tr>
        <w:trPr>
          <w:trHeight w:val="256"/>
        </w:trPr>
        <w:tc>
          <w:tcPr>
            <w:tcW w:w="8400" w:type="dxa"/>
            <w:vAlign w:val="bottom"/>
            <w:gridSpan w:val="2"/>
          </w:tcPr>
          <w:p>
            <w:pPr>
              <w:ind w:left="240"/>
              <w:spacing w:after="0"/>
              <w:rPr>
                <w:sz w:val="20"/>
                <w:szCs w:val="20"/>
                <w:color w:val="auto"/>
              </w:rPr>
            </w:pPr>
            <w:r>
              <w:rPr>
                <w:rFonts w:ascii="Arial" w:cs="Arial" w:eastAsia="Arial" w:hAnsi="Arial"/>
                <w:sz w:val="19"/>
                <w:szCs w:val="19"/>
                <w:color w:val="auto"/>
              </w:rPr>
              <w:t>Payment of financing cost</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rPr>
              <w:t>(1,539)</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0"/>
        </w:trPr>
        <w:tc>
          <w:tcPr>
            <w:tcW w:w="8400" w:type="dxa"/>
            <w:vAlign w:val="bottom"/>
            <w:gridSpan w:val="2"/>
          </w:tcPr>
          <w:p>
            <w:pPr>
              <w:ind w:left="240"/>
              <w:spacing w:after="0"/>
              <w:rPr>
                <w:sz w:val="20"/>
                <w:szCs w:val="20"/>
                <w:color w:val="auto"/>
              </w:rPr>
            </w:pPr>
            <w:r>
              <w:rPr>
                <w:rFonts w:ascii="Arial" w:cs="Arial" w:eastAsia="Arial" w:hAnsi="Arial"/>
                <w:sz w:val="19"/>
                <w:szCs w:val="19"/>
                <w:color w:val="auto"/>
              </w:rPr>
              <w:t>Repurchase of Class A ordinary shares</w:t>
            </w:r>
          </w:p>
        </w:tc>
        <w:tc>
          <w:tcPr>
            <w:tcW w:w="1160" w:type="dxa"/>
            <w:vAlign w:val="bottom"/>
          </w:tcPr>
          <w:p>
            <w:pPr>
              <w:jc w:val="right"/>
              <w:ind w:right="366"/>
              <w:spacing w:after="0"/>
              <w:rPr>
                <w:sz w:val="20"/>
                <w:szCs w:val="20"/>
                <w:color w:val="auto"/>
              </w:rPr>
            </w:pPr>
            <w:r>
              <w:rPr>
                <w:rFonts w:ascii="Arial" w:cs="Arial" w:eastAsia="Arial" w:hAnsi="Arial"/>
                <w:sz w:val="19"/>
                <w:szCs w:val="19"/>
                <w:color w:val="auto"/>
                <w:w w:val="96"/>
              </w:rPr>
              <w:t>(13,304)</w:t>
            </w:r>
          </w:p>
        </w:tc>
        <w:tc>
          <w:tcPr>
            <w:tcW w:w="1680" w:type="dxa"/>
            <w:vAlign w:val="bottom"/>
          </w:tcPr>
          <w:p>
            <w:pPr>
              <w:jc w:val="right"/>
              <w:ind w:right="5"/>
              <w:spacing w:after="0"/>
              <w:rPr>
                <w:sz w:val="20"/>
                <w:szCs w:val="20"/>
                <w:color w:val="auto"/>
              </w:rPr>
            </w:pPr>
            <w:r>
              <w:rPr>
                <w:rFonts w:ascii="Arial" w:cs="Arial" w:eastAsia="Arial" w:hAnsi="Arial"/>
                <w:sz w:val="19"/>
                <w:szCs w:val="19"/>
                <w:color w:val="auto"/>
              </w:rPr>
              <w:t>(1,241)</w:t>
            </w:r>
          </w:p>
        </w:tc>
        <w:tc>
          <w:tcPr>
            <w:tcW w:w="0" w:type="dxa"/>
            <w:vAlign w:val="bottom"/>
          </w:tcPr>
          <w:p>
            <w:pPr>
              <w:spacing w:after="0"/>
              <w:rPr>
                <w:sz w:val="1"/>
                <w:szCs w:val="1"/>
                <w:color w:val="auto"/>
              </w:rPr>
            </w:pPr>
          </w:p>
        </w:tc>
      </w:tr>
      <w:tr>
        <w:trPr>
          <w:trHeight w:val="210"/>
        </w:trPr>
        <w:tc>
          <w:tcPr>
            <w:tcW w:w="7160" w:type="dxa"/>
            <w:vAlign w:val="bottom"/>
          </w:tcPr>
          <w:p>
            <w:pPr>
              <w:ind w:left="100"/>
              <w:spacing w:after="0" w:line="210" w:lineRule="exact"/>
              <w:rPr>
                <w:sz w:val="20"/>
                <w:szCs w:val="20"/>
                <w:color w:val="auto"/>
              </w:rPr>
            </w:pPr>
            <w:r>
              <w:rPr>
                <w:rFonts w:ascii="Arial" w:cs="Arial" w:eastAsia="Arial" w:hAnsi="Arial"/>
                <w:sz w:val="19"/>
                <w:szCs w:val="19"/>
                <w:color w:val="auto"/>
              </w:rPr>
              <w:t>Net cash (used in) provided by financing activities</w:t>
            </w:r>
          </w:p>
        </w:tc>
        <w:tc>
          <w:tcPr>
            <w:tcW w:w="1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66"/>
              <w:spacing w:after="0" w:line="210" w:lineRule="exact"/>
              <w:rPr>
                <w:sz w:val="20"/>
                <w:szCs w:val="20"/>
                <w:color w:val="auto"/>
              </w:rPr>
            </w:pPr>
            <w:r>
              <w:rPr>
                <w:rFonts w:ascii="Arial" w:cs="Arial" w:eastAsia="Arial" w:hAnsi="Arial"/>
                <w:sz w:val="19"/>
                <w:szCs w:val="19"/>
                <w:color w:val="auto"/>
              </w:rPr>
              <w:t>(5,437)</w:t>
            </w:r>
          </w:p>
        </w:tc>
        <w:tc>
          <w:tcPr>
            <w:tcW w:w="1680" w:type="dxa"/>
            <w:vAlign w:val="bottom"/>
            <w:tcBorders>
              <w:top w:val="single" w:sz="8" w:color="auto"/>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9,682</w:t>
            </w:r>
          </w:p>
        </w:tc>
        <w:tc>
          <w:tcPr>
            <w:tcW w:w="0" w:type="dxa"/>
            <w:vAlign w:val="bottom"/>
          </w:tcPr>
          <w:p>
            <w:pPr>
              <w:spacing w:after="0"/>
              <w:rPr>
                <w:sz w:val="1"/>
                <w:szCs w:val="1"/>
                <w:color w:val="auto"/>
              </w:rPr>
            </w:pPr>
          </w:p>
        </w:tc>
      </w:tr>
      <w:tr>
        <w:trPr>
          <w:trHeight w:val="1215"/>
        </w:trPr>
        <w:tc>
          <w:tcPr>
            <w:tcW w:w="7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8"/>
        </w:trPr>
        <w:tc>
          <w:tcPr>
            <w:tcW w:w="7160" w:type="dxa"/>
            <w:vAlign w:val="bottom"/>
          </w:tcPr>
          <w:p>
            <w:pPr>
              <w:ind w:left="100"/>
              <w:spacing w:after="0"/>
              <w:rPr>
                <w:sz w:val="20"/>
                <w:szCs w:val="20"/>
                <w:color w:val="auto"/>
              </w:rPr>
            </w:pPr>
            <w:r>
              <w:rPr>
                <w:rFonts w:ascii="Arial" w:cs="Arial" w:eastAsia="Arial" w:hAnsi="Arial"/>
                <w:sz w:val="19"/>
                <w:szCs w:val="19"/>
                <w:color w:val="auto"/>
              </w:rPr>
              <w:t>Effect of foreign exchange rate changes on cash, cash equivalents and restricted</w:t>
            </w:r>
          </w:p>
        </w:tc>
        <w:tc>
          <w:tcPr>
            <w:tcW w:w="2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00"/>
              <w:spacing w:after="0"/>
              <w:rPr>
                <w:sz w:val="20"/>
                <w:szCs w:val="20"/>
                <w:color w:val="auto"/>
              </w:rPr>
            </w:pPr>
            <w:r>
              <w:rPr>
                <w:rFonts w:ascii="Arial" w:cs="Arial" w:eastAsia="Arial" w:hAnsi="Arial"/>
                <w:sz w:val="19"/>
                <w:szCs w:val="19"/>
                <w:color w:val="auto"/>
              </w:rPr>
              <w:t>cash</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204</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(829)</w:t>
            </w:r>
          </w:p>
        </w:tc>
        <w:tc>
          <w:tcPr>
            <w:tcW w:w="0" w:type="dxa"/>
            <w:vAlign w:val="bottom"/>
          </w:tcPr>
          <w:p>
            <w:pPr>
              <w:spacing w:after="0"/>
              <w:rPr>
                <w:sz w:val="1"/>
                <w:szCs w:val="1"/>
                <w:color w:val="auto"/>
              </w:rPr>
            </w:pPr>
          </w:p>
        </w:tc>
      </w:tr>
      <w:tr>
        <w:trPr>
          <w:trHeight w:val="216"/>
        </w:trPr>
        <w:tc>
          <w:tcPr>
            <w:tcW w:w="7160" w:type="dxa"/>
            <w:vAlign w:val="bottom"/>
          </w:tcPr>
          <w:p>
            <w:pPr>
              <w:ind w:left="100"/>
              <w:spacing w:after="0" w:line="216" w:lineRule="exact"/>
              <w:rPr>
                <w:sz w:val="20"/>
                <w:szCs w:val="20"/>
                <w:color w:val="auto"/>
              </w:rPr>
            </w:pPr>
            <w:r>
              <w:rPr>
                <w:rFonts w:ascii="Arial" w:cs="Arial" w:eastAsia="Arial" w:hAnsi="Arial"/>
                <w:sz w:val="19"/>
                <w:szCs w:val="19"/>
                <w:color w:val="auto"/>
              </w:rPr>
              <w:t>Net increase in cash, cash equivalents and restricted cash</w:t>
            </w:r>
          </w:p>
        </w:tc>
        <w:tc>
          <w:tcPr>
            <w:tcW w:w="2680" w:type="dxa"/>
            <w:vAlign w:val="bottom"/>
          </w:tcPr>
          <w:p>
            <w:pPr>
              <w:jc w:val="right"/>
              <w:ind w:right="646"/>
              <w:spacing w:after="0" w:line="216" w:lineRule="exact"/>
              <w:rPr>
                <w:sz w:val="20"/>
                <w:szCs w:val="20"/>
                <w:color w:val="auto"/>
              </w:rPr>
            </w:pPr>
            <w:r>
              <w:rPr>
                <w:rFonts w:ascii="Arial" w:cs="Arial" w:eastAsia="Arial" w:hAnsi="Arial"/>
                <w:sz w:val="19"/>
                <w:szCs w:val="19"/>
                <w:color w:val="auto"/>
              </w:rPr>
              <w:t>29,622</w:t>
            </w:r>
          </w:p>
        </w:tc>
        <w:tc>
          <w:tcPr>
            <w:tcW w:w="1400" w:type="dxa"/>
            <w:vAlign w:val="bottom"/>
          </w:tcPr>
          <w:p>
            <w:pPr>
              <w:jc w:val="right"/>
              <w:ind w:right="6"/>
              <w:spacing w:after="0" w:line="216" w:lineRule="exact"/>
              <w:rPr>
                <w:sz w:val="20"/>
                <w:szCs w:val="20"/>
                <w:color w:val="auto"/>
              </w:rPr>
            </w:pPr>
            <w:r>
              <w:rPr>
                <w:rFonts w:ascii="Arial" w:cs="Arial" w:eastAsia="Arial" w:hAnsi="Arial"/>
                <w:sz w:val="19"/>
                <w:szCs w:val="19"/>
                <w:color w:val="auto"/>
              </w:rPr>
              <w:t>12,013</w:t>
            </w:r>
          </w:p>
        </w:tc>
        <w:tc>
          <w:tcPr>
            <w:tcW w:w="0" w:type="dxa"/>
            <w:vAlign w:val="bottom"/>
          </w:tcPr>
          <w:p>
            <w:pPr>
              <w:spacing w:after="0"/>
              <w:rPr>
                <w:sz w:val="1"/>
                <w:szCs w:val="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9"/>
                <w:szCs w:val="19"/>
                <w:color w:val="auto"/>
              </w:rPr>
              <w:t>Cash, cash equivalents and restricted cash at beginning of period *</w:t>
            </w:r>
          </w:p>
        </w:tc>
        <w:tc>
          <w:tcPr>
            <w:tcW w:w="268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color w:val="auto"/>
              </w:rPr>
              <w:t>75,646</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30,828</w:t>
            </w:r>
          </w:p>
        </w:tc>
        <w:tc>
          <w:tcPr>
            <w:tcW w:w="0" w:type="dxa"/>
            <w:vAlign w:val="bottom"/>
          </w:tcPr>
          <w:p>
            <w:pPr>
              <w:spacing w:after="0"/>
              <w:rPr>
                <w:sz w:val="1"/>
                <w:szCs w:val="1"/>
                <w:color w:val="auto"/>
              </w:rPr>
            </w:pPr>
          </w:p>
        </w:tc>
      </w:tr>
      <w:tr>
        <w:trPr>
          <w:trHeight w:val="209"/>
        </w:trPr>
        <w:tc>
          <w:tcPr>
            <w:tcW w:w="7160" w:type="dxa"/>
            <w:vAlign w:val="bottom"/>
          </w:tcPr>
          <w:p>
            <w:pPr>
              <w:ind w:left="240"/>
              <w:spacing w:after="0" w:line="196" w:lineRule="exact"/>
              <w:rPr>
                <w:sz w:val="20"/>
                <w:szCs w:val="20"/>
                <w:color w:val="auto"/>
              </w:rPr>
            </w:pPr>
            <w:r>
              <w:rPr>
                <w:rFonts w:ascii="Arial" w:cs="Arial" w:eastAsia="Arial" w:hAnsi="Arial"/>
                <w:sz w:val="19"/>
                <w:szCs w:val="19"/>
                <w:color w:val="auto"/>
              </w:rPr>
              <w:t>Cash, cash equivalents and restricted cash at end of period **</w:t>
            </w:r>
          </w:p>
        </w:tc>
        <w:tc>
          <w:tcPr>
            <w:tcW w:w="2680" w:type="dxa"/>
            <w:vAlign w:val="bottom"/>
            <w:tcBorders>
              <w:bottom w:val="single" w:sz="8" w:color="auto"/>
            </w:tcBorders>
          </w:tcPr>
          <w:p>
            <w:pPr>
              <w:jc w:val="right"/>
              <w:ind w:right="646"/>
              <w:spacing w:after="0" w:line="196" w:lineRule="exact"/>
              <w:rPr>
                <w:sz w:val="20"/>
                <w:szCs w:val="20"/>
                <w:color w:val="auto"/>
              </w:rPr>
            </w:pPr>
            <w:r>
              <w:rPr>
                <w:rFonts w:ascii="Arial" w:cs="Arial" w:eastAsia="Arial" w:hAnsi="Arial"/>
                <w:sz w:val="19"/>
                <w:szCs w:val="19"/>
                <w:color w:val="auto"/>
              </w:rPr>
              <w:t>105,268</w:t>
            </w:r>
          </w:p>
        </w:tc>
        <w:tc>
          <w:tcPr>
            <w:tcW w:w="1400" w:type="dxa"/>
            <w:vAlign w:val="bottom"/>
            <w:tcBorders>
              <w:bottom w:val="single" w:sz="8" w:color="auto"/>
            </w:tcBorders>
          </w:tcPr>
          <w:p>
            <w:pPr>
              <w:jc w:val="right"/>
              <w:ind w:right="6"/>
              <w:spacing w:after="0" w:line="196" w:lineRule="exact"/>
              <w:rPr>
                <w:sz w:val="20"/>
                <w:szCs w:val="20"/>
                <w:color w:val="auto"/>
              </w:rPr>
            </w:pPr>
            <w:r>
              <w:rPr>
                <w:rFonts w:ascii="Arial" w:cs="Arial" w:eastAsia="Arial" w:hAnsi="Arial"/>
                <w:sz w:val="19"/>
                <w:szCs w:val="19"/>
                <w:color w:val="auto"/>
              </w:rPr>
              <w:t>42,841</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100"/>
              <w:spacing w:after="0"/>
              <w:rPr>
                <w:sz w:val="20"/>
                <w:szCs w:val="20"/>
                <w:color w:val="auto"/>
              </w:rPr>
            </w:pPr>
            <w:r>
              <w:rPr>
                <w:rFonts w:ascii="Arial" w:cs="Arial" w:eastAsia="Arial" w:hAnsi="Arial"/>
                <w:sz w:val="19"/>
                <w:szCs w:val="19"/>
                <w:color w:val="auto"/>
              </w:rPr>
              <w:t>Supplemental disclosure of cash flow information:</w:t>
            </w:r>
          </w:p>
        </w:tc>
        <w:tc>
          <w:tcPr>
            <w:tcW w:w="2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9"/>
                <w:szCs w:val="19"/>
                <w:color w:val="auto"/>
              </w:rPr>
              <w:t>Income taxes paid</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24</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40</w:t>
            </w:r>
          </w:p>
        </w:tc>
        <w:tc>
          <w:tcPr>
            <w:tcW w:w="0" w:type="dxa"/>
            <w:vAlign w:val="bottom"/>
          </w:tcPr>
          <w:p>
            <w:pPr>
              <w:spacing w:after="0"/>
              <w:rPr>
                <w:sz w:val="1"/>
                <w:szCs w:val="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9"/>
                <w:szCs w:val="19"/>
                <w:color w:val="auto"/>
              </w:rPr>
              <w:t>Cash payments included in the measurement of operating lease liabilities</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547</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572</w:t>
            </w:r>
          </w:p>
        </w:tc>
        <w:tc>
          <w:tcPr>
            <w:tcW w:w="0" w:type="dxa"/>
            <w:vAlign w:val="bottom"/>
          </w:tcPr>
          <w:p>
            <w:pPr>
              <w:spacing w:after="0"/>
              <w:rPr>
                <w:sz w:val="1"/>
                <w:szCs w:val="1"/>
                <w:color w:val="auto"/>
              </w:rPr>
            </w:pPr>
          </w:p>
        </w:tc>
      </w:tr>
      <w:tr>
        <w:trPr>
          <w:trHeight w:val="243"/>
        </w:trPr>
        <w:tc>
          <w:tcPr>
            <w:tcW w:w="7160" w:type="dxa"/>
            <w:vAlign w:val="bottom"/>
          </w:tcPr>
          <w:p>
            <w:pPr>
              <w:ind w:left="100"/>
              <w:spacing w:after="0"/>
              <w:rPr>
                <w:sz w:val="20"/>
                <w:szCs w:val="20"/>
                <w:color w:val="auto"/>
              </w:rPr>
            </w:pPr>
            <w:r>
              <w:rPr>
                <w:rFonts w:ascii="Arial" w:cs="Arial" w:eastAsia="Arial" w:hAnsi="Arial"/>
                <w:sz w:val="19"/>
                <w:szCs w:val="19"/>
                <w:color w:val="auto"/>
              </w:rPr>
              <w:t>Non-cash financing and investing activities:</w:t>
            </w:r>
          </w:p>
        </w:tc>
        <w:tc>
          <w:tcPr>
            <w:tcW w:w="2680" w:type="dxa"/>
            <w:vAlign w:val="bottom"/>
            <w:vMerge w:val="restart"/>
          </w:tcPr>
          <w:p>
            <w:pPr>
              <w:jc w:val="right"/>
              <w:ind w:right="646"/>
              <w:spacing w:after="0"/>
              <w:rPr>
                <w:sz w:val="20"/>
                <w:szCs w:val="20"/>
                <w:color w:val="auto"/>
              </w:rPr>
            </w:pPr>
            <w:r>
              <w:rPr>
                <w:rFonts w:ascii="Arial" w:cs="Arial" w:eastAsia="Arial" w:hAnsi="Arial"/>
                <w:sz w:val="19"/>
                <w:szCs w:val="19"/>
                <w:color w:val="auto"/>
              </w:rPr>
              <w:t>72</w:t>
            </w:r>
          </w:p>
        </w:tc>
        <w:tc>
          <w:tcPr>
            <w:tcW w:w="1400" w:type="dxa"/>
            <w:vAlign w:val="bottom"/>
            <w:vMerge w:val="restart"/>
          </w:tcPr>
          <w:p>
            <w:pPr>
              <w:jc w:val="right"/>
              <w:ind w:right="6"/>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16"/>
        </w:trPr>
        <w:tc>
          <w:tcPr>
            <w:tcW w:w="7160" w:type="dxa"/>
            <w:vAlign w:val="bottom"/>
          </w:tcPr>
          <w:p>
            <w:pPr>
              <w:ind w:left="240"/>
              <w:spacing w:after="0" w:line="216" w:lineRule="exact"/>
              <w:rPr>
                <w:sz w:val="20"/>
                <w:szCs w:val="20"/>
                <w:color w:val="auto"/>
              </w:rPr>
            </w:pPr>
            <w:r>
              <w:rPr>
                <w:rFonts w:ascii="Arial" w:cs="Arial" w:eastAsia="Arial" w:hAnsi="Arial"/>
                <w:sz w:val="19"/>
                <w:szCs w:val="19"/>
                <w:color w:val="auto"/>
              </w:rPr>
              <w:t>Proceeds receivable from exercise of employees’ share options</w:t>
            </w:r>
          </w:p>
        </w:tc>
        <w:tc>
          <w:tcPr>
            <w:tcW w:w="26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9"/>
                <w:szCs w:val="19"/>
                <w:color w:val="auto"/>
              </w:rPr>
              <w:t>Payables for financing cost</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1,058</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9"/>
                <w:szCs w:val="19"/>
                <w:color w:val="auto"/>
              </w:rPr>
              <w:t>Payables for property and equipment</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33</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9"/>
                <w:szCs w:val="19"/>
                <w:color w:val="auto"/>
              </w:rPr>
              <w:t>Payables for construction in progress in relation to the headquarters project</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8,988</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641</w:t>
            </w:r>
          </w:p>
        </w:tc>
        <w:tc>
          <w:tcPr>
            <w:tcW w:w="0" w:type="dxa"/>
            <w:vAlign w:val="bottom"/>
          </w:tcPr>
          <w:p>
            <w:pPr>
              <w:spacing w:after="0"/>
              <w:rPr>
                <w:sz w:val="1"/>
                <w:szCs w:val="1"/>
                <w:color w:val="auto"/>
              </w:rPr>
            </w:pPr>
          </w:p>
        </w:tc>
      </w:tr>
      <w:tr>
        <w:trPr>
          <w:trHeight w:val="276"/>
        </w:trPr>
        <w:tc>
          <w:tcPr>
            <w:tcW w:w="7160" w:type="dxa"/>
            <w:vAlign w:val="bottom"/>
          </w:tcPr>
          <w:p>
            <w:pPr>
              <w:ind w:left="240"/>
              <w:spacing w:after="0"/>
              <w:rPr>
                <w:sz w:val="20"/>
                <w:szCs w:val="20"/>
                <w:color w:val="auto"/>
              </w:rPr>
            </w:pPr>
            <w:r>
              <w:rPr>
                <w:rFonts w:ascii="Arial" w:cs="Arial" w:eastAsia="Arial" w:hAnsi="Arial"/>
                <w:sz w:val="19"/>
                <w:szCs w:val="19"/>
                <w:color w:val="auto"/>
              </w:rPr>
              <w:t>Payables for treasury shares, at cost</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102</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439"/>
        </w:trPr>
        <w:tc>
          <w:tcPr>
            <w:tcW w:w="7160" w:type="dxa"/>
            <w:vAlign w:val="bottom"/>
          </w:tcPr>
          <w:p>
            <w:pPr>
              <w:ind w:left="100"/>
              <w:spacing w:after="0"/>
              <w:rPr>
                <w:sz w:val="20"/>
                <w:szCs w:val="20"/>
                <w:color w:val="auto"/>
              </w:rPr>
            </w:pPr>
            <w:r>
              <w:rPr>
                <w:rFonts w:ascii="Arial" w:cs="Arial" w:eastAsia="Arial" w:hAnsi="Arial"/>
                <w:sz w:val="19"/>
                <w:szCs w:val="19"/>
                <w:color w:val="auto"/>
              </w:rPr>
              <w:t>* Includes restricted cash balance</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200</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3,745</w:t>
            </w:r>
          </w:p>
        </w:tc>
        <w:tc>
          <w:tcPr>
            <w:tcW w:w="0" w:type="dxa"/>
            <w:vAlign w:val="bottom"/>
          </w:tcPr>
          <w:p>
            <w:pPr>
              <w:spacing w:after="0"/>
              <w:rPr>
                <w:sz w:val="1"/>
                <w:szCs w:val="1"/>
                <w:color w:val="auto"/>
              </w:rPr>
            </w:pPr>
          </w:p>
        </w:tc>
      </w:tr>
      <w:tr>
        <w:trPr>
          <w:trHeight w:val="263"/>
        </w:trPr>
        <w:tc>
          <w:tcPr>
            <w:tcW w:w="7160" w:type="dxa"/>
            <w:vAlign w:val="bottom"/>
          </w:tcPr>
          <w:p>
            <w:pPr>
              <w:ind w:left="100"/>
              <w:spacing w:after="0"/>
              <w:rPr>
                <w:sz w:val="20"/>
                <w:szCs w:val="20"/>
                <w:color w:val="auto"/>
              </w:rPr>
            </w:pPr>
            <w:r>
              <w:rPr>
                <w:rFonts w:ascii="Arial" w:cs="Arial" w:eastAsia="Arial" w:hAnsi="Arial"/>
                <w:sz w:val="19"/>
                <w:szCs w:val="19"/>
                <w:color w:val="auto"/>
              </w:rPr>
              <w:t>** includes restricted cash balance</w:t>
            </w:r>
          </w:p>
        </w:tc>
        <w:tc>
          <w:tcPr>
            <w:tcW w:w="2680" w:type="dxa"/>
            <w:vAlign w:val="bottom"/>
          </w:tcPr>
          <w:p>
            <w:pPr>
              <w:jc w:val="right"/>
              <w:ind w:right="646"/>
              <w:spacing w:after="0"/>
              <w:rPr>
                <w:sz w:val="20"/>
                <w:szCs w:val="20"/>
                <w:color w:val="auto"/>
              </w:rPr>
            </w:pPr>
            <w:r>
              <w:rPr>
                <w:rFonts w:ascii="Arial" w:cs="Arial" w:eastAsia="Arial" w:hAnsi="Arial"/>
                <w:sz w:val="19"/>
                <w:szCs w:val="19"/>
                <w:color w:val="auto"/>
              </w:rPr>
              <w:t>200</w:t>
            </w:r>
          </w:p>
        </w:tc>
        <w:tc>
          <w:tcPr>
            <w:tcW w:w="1400" w:type="dxa"/>
            <w:vAlign w:val="bottom"/>
          </w:tcPr>
          <w:p>
            <w:pPr>
              <w:jc w:val="right"/>
              <w:ind w:right="6"/>
              <w:spacing w:after="0"/>
              <w:rPr>
                <w:sz w:val="20"/>
                <w:szCs w:val="20"/>
                <w:color w:val="auto"/>
              </w:rPr>
            </w:pPr>
            <w:r>
              <w:rPr>
                <w:rFonts w:ascii="Arial" w:cs="Arial" w:eastAsia="Arial" w:hAnsi="Arial"/>
                <w:sz w:val="19"/>
                <w:szCs w:val="19"/>
                <w:color w:val="auto"/>
              </w:rPr>
              <w:t>230</w:t>
            </w:r>
          </w:p>
        </w:tc>
        <w:tc>
          <w:tcPr>
            <w:tcW w:w="0" w:type="dxa"/>
            <w:vAlign w:val="bottom"/>
          </w:tcPr>
          <w:p>
            <w:pPr>
              <w:spacing w:after="0"/>
              <w:rPr>
                <w:sz w:val="1"/>
                <w:szCs w:val="1"/>
                <w:color w:val="auto"/>
              </w:rPr>
            </w:pPr>
          </w:p>
        </w:tc>
      </w:tr>
      <w:tr>
        <w:trPr>
          <w:trHeight w:val="1203"/>
        </w:trPr>
        <w:tc>
          <w:tcPr>
            <w:tcW w:w="71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2026-05-28T05:23:14Z</dcterms:created>
  <dcterms:modified xsi:type="dcterms:W3CDTF">2026-05-28T05:23:14Z</dcterms:modified>
</cp:coreProperties>
</file>